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CAC33" w14:textId="77777777" w:rsidR="007A251E" w:rsidRPr="009F0054" w:rsidRDefault="007A251E" w:rsidP="007A251E">
      <w:pPr>
        <w:tabs>
          <w:tab w:val="left" w:pos="10065"/>
        </w:tabs>
        <w:ind w:left="-284" w:right="-518"/>
        <w:jc w:val="center"/>
        <w:rPr>
          <w:rFonts w:ascii="Noto Sans" w:eastAsia="Times New Roman" w:hAnsi="Noto Sans" w:cs="Noto Sans"/>
          <w:b/>
          <w:sz w:val="16"/>
          <w:szCs w:val="16"/>
          <w:lang w:eastAsia="es-ES"/>
        </w:rPr>
      </w:pPr>
      <w:r w:rsidRPr="009F0054">
        <w:rPr>
          <w:rFonts w:ascii="Noto Sans" w:eastAsia="Times New Roman" w:hAnsi="Noto Sans" w:cs="Noto Sans"/>
          <w:b/>
          <w:sz w:val="16"/>
          <w:szCs w:val="16"/>
          <w:lang w:eastAsia="es-ES"/>
        </w:rPr>
        <w:t>PROPUESTA ECONÓMICA</w:t>
      </w:r>
    </w:p>
    <w:p w14:paraId="081709BB" w14:textId="77777777" w:rsidR="007A251E" w:rsidRPr="009F0054" w:rsidRDefault="007A251E" w:rsidP="007A251E">
      <w:pPr>
        <w:jc w:val="both"/>
        <w:rPr>
          <w:rFonts w:ascii="Noto Sans" w:hAnsi="Noto Sans" w:cs="Noto Sans"/>
          <w:sz w:val="20"/>
          <w:szCs w:val="20"/>
        </w:rPr>
      </w:pPr>
    </w:p>
    <w:tbl>
      <w:tblPr>
        <w:tblW w:w="9640" w:type="dxa"/>
        <w:tblInd w:w="-214" w:type="dxa"/>
        <w:tblCellMar>
          <w:left w:w="70" w:type="dxa"/>
          <w:right w:w="70" w:type="dxa"/>
        </w:tblCellMar>
        <w:tblLook w:val="04A0" w:firstRow="1" w:lastRow="0" w:firstColumn="1" w:lastColumn="0" w:noHBand="0" w:noVBand="1"/>
      </w:tblPr>
      <w:tblGrid>
        <w:gridCol w:w="4253"/>
        <w:gridCol w:w="5387"/>
      </w:tblGrid>
      <w:tr w:rsidR="007A251E" w:rsidRPr="009F0054" w14:paraId="59CFC927" w14:textId="77777777" w:rsidTr="00427E1C">
        <w:trPr>
          <w:trHeight w:val="53"/>
        </w:trPr>
        <w:tc>
          <w:tcPr>
            <w:tcW w:w="4253" w:type="dxa"/>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76DCFF4E" w14:textId="77777777" w:rsidR="007A251E" w:rsidRPr="009F0054" w:rsidRDefault="007A251E" w:rsidP="00427E1C">
            <w:pPr>
              <w:rPr>
                <w:rFonts w:ascii="Noto Sans" w:hAnsi="Noto Sans" w:cs="Noto Sans"/>
                <w:b/>
                <w:bCs/>
                <w:color w:val="000000"/>
                <w:sz w:val="16"/>
                <w:szCs w:val="16"/>
                <w:lang w:eastAsia="es-MX"/>
              </w:rPr>
            </w:pPr>
            <w:r w:rsidRPr="009F0054">
              <w:rPr>
                <w:rFonts w:ascii="Noto Sans" w:hAnsi="Noto Sans" w:cs="Noto Sans"/>
                <w:b/>
                <w:bCs/>
                <w:color w:val="000000"/>
                <w:sz w:val="16"/>
                <w:szCs w:val="16"/>
                <w:lang w:eastAsia="es-MX"/>
              </w:rPr>
              <w:t>No. de procedimiento </w:t>
            </w:r>
          </w:p>
        </w:tc>
        <w:tc>
          <w:tcPr>
            <w:tcW w:w="5387"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14:paraId="173B5244" w14:textId="77777777" w:rsidR="007A251E" w:rsidRPr="009F0054" w:rsidRDefault="007A251E" w:rsidP="00427E1C">
            <w:pPr>
              <w:jc w:val="center"/>
              <w:rPr>
                <w:rFonts w:ascii="Noto Sans" w:hAnsi="Noto Sans" w:cs="Noto Sans"/>
                <w:b/>
                <w:bCs/>
                <w:color w:val="000000"/>
                <w:sz w:val="16"/>
                <w:szCs w:val="16"/>
                <w:lang w:eastAsia="es-MX"/>
              </w:rPr>
            </w:pPr>
          </w:p>
        </w:tc>
      </w:tr>
      <w:tr w:rsidR="007A251E" w:rsidRPr="009F0054" w14:paraId="328A5B7F" w14:textId="77777777" w:rsidTr="00427E1C">
        <w:trPr>
          <w:trHeight w:val="53"/>
        </w:trPr>
        <w:tc>
          <w:tcPr>
            <w:tcW w:w="4253" w:type="dxa"/>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1364BDD4" w14:textId="77777777" w:rsidR="007A251E" w:rsidRPr="009F0054" w:rsidRDefault="007A251E" w:rsidP="00427E1C">
            <w:pPr>
              <w:rPr>
                <w:rFonts w:ascii="Noto Sans" w:hAnsi="Noto Sans" w:cs="Noto Sans"/>
                <w:b/>
                <w:bCs/>
                <w:color w:val="000000"/>
                <w:sz w:val="16"/>
                <w:szCs w:val="16"/>
                <w:lang w:eastAsia="es-MX"/>
              </w:rPr>
            </w:pPr>
            <w:r w:rsidRPr="009F0054">
              <w:rPr>
                <w:rFonts w:ascii="Noto Sans" w:hAnsi="Noto Sans" w:cs="Noto Sans"/>
                <w:b/>
                <w:bCs/>
                <w:color w:val="000000"/>
                <w:sz w:val="16"/>
                <w:szCs w:val="16"/>
                <w:lang w:eastAsia="es-MX"/>
              </w:rPr>
              <w:t>Nombre o Razón Social del Licitante </w:t>
            </w:r>
          </w:p>
        </w:tc>
        <w:tc>
          <w:tcPr>
            <w:tcW w:w="5387"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14:paraId="1AD32DA2" w14:textId="77777777" w:rsidR="007A251E" w:rsidRPr="009F0054" w:rsidRDefault="007A251E" w:rsidP="00427E1C">
            <w:pPr>
              <w:jc w:val="center"/>
              <w:rPr>
                <w:rFonts w:ascii="Noto Sans" w:hAnsi="Noto Sans" w:cs="Noto Sans"/>
                <w:b/>
                <w:bCs/>
                <w:color w:val="000000"/>
                <w:sz w:val="16"/>
                <w:szCs w:val="16"/>
                <w:lang w:eastAsia="es-MX"/>
              </w:rPr>
            </w:pPr>
          </w:p>
        </w:tc>
      </w:tr>
    </w:tbl>
    <w:p w14:paraId="00E4E118" w14:textId="77777777" w:rsidR="007A251E" w:rsidRPr="009F0054" w:rsidRDefault="007A251E" w:rsidP="007A251E">
      <w:pPr>
        <w:jc w:val="both"/>
        <w:rPr>
          <w:rFonts w:ascii="Noto Sans" w:hAnsi="Noto Sans" w:cs="Noto Sans"/>
          <w:sz w:val="20"/>
          <w:szCs w:val="20"/>
        </w:rPr>
      </w:pPr>
    </w:p>
    <w:p w14:paraId="679C13E8" w14:textId="2CDA4407" w:rsidR="007A251E" w:rsidRDefault="007A251E" w:rsidP="007A251E">
      <w:pPr>
        <w:ind w:left="-284" w:right="-518"/>
        <w:jc w:val="both"/>
        <w:rPr>
          <w:rFonts w:ascii="Noto Sans" w:hAnsi="Noto Sans" w:cs="Noto Sans"/>
          <w:sz w:val="20"/>
          <w:szCs w:val="20"/>
        </w:rPr>
      </w:pPr>
      <w:r w:rsidRPr="009F0054">
        <w:rPr>
          <w:rFonts w:ascii="Noto Sans" w:hAnsi="Noto Sans" w:cs="Noto Sans"/>
          <w:sz w:val="20"/>
          <w:szCs w:val="20"/>
        </w:rPr>
        <w:t>Formato de cotización para la c</w:t>
      </w:r>
      <w:r w:rsidRPr="009F0054">
        <w:rPr>
          <w:rFonts w:ascii="Noto Sans" w:hAnsi="Noto Sans" w:cs="Noto Sans"/>
          <w:bCs/>
          <w:iCs/>
          <w:sz w:val="20"/>
          <w:szCs w:val="20"/>
          <w:lang w:eastAsia="ar-SA"/>
        </w:rPr>
        <w:t xml:space="preserve">ontratación </w:t>
      </w:r>
      <w:r w:rsidR="00ED26AB" w:rsidRPr="005E7BA1">
        <w:rPr>
          <w:rFonts w:ascii="Noto Sans" w:hAnsi="Noto Sans" w:cs="Noto Sans"/>
          <w:sz w:val="20"/>
          <w:szCs w:val="20"/>
        </w:rPr>
        <w:t xml:space="preserve">servicio </w:t>
      </w:r>
      <w:r w:rsidR="00ED26AB" w:rsidRPr="005E7BA1">
        <w:rPr>
          <w:rFonts w:ascii="Noto Sans" w:hAnsi="Noto Sans" w:cs="Noto Sans"/>
          <w:bCs/>
          <w:sz w:val="20"/>
          <w:szCs w:val="20"/>
        </w:rPr>
        <w:t xml:space="preserve">de recursos de información digital que comprende la suscripción a revistas, libros y bases de datos </w:t>
      </w:r>
      <w:r w:rsidR="00ED26AB" w:rsidRPr="005E7BA1">
        <w:rPr>
          <w:rFonts w:ascii="Noto Sans" w:hAnsi="Noto Sans" w:cs="Noto Sans"/>
          <w:sz w:val="20"/>
          <w:szCs w:val="20"/>
        </w:rPr>
        <w:t xml:space="preserve">a través de plataformas de proveedores externos, que contienen información actualizada y de rigor científico del proyecto denominado </w:t>
      </w:r>
      <w:r w:rsidR="00ED26AB" w:rsidRPr="005E7BA1">
        <w:rPr>
          <w:rFonts w:ascii="Noto Sans" w:hAnsi="Noto Sans" w:cs="Noto Sans"/>
          <w:b/>
          <w:bCs/>
          <w:sz w:val="20"/>
          <w:szCs w:val="20"/>
        </w:rPr>
        <w:t>“Fortalecimiento del acervo y recursos de información en formato digital para la toma de decisiones en materia de salud por personal de las Unidades Médicas del Instituto”</w:t>
      </w:r>
      <w:r w:rsidR="00ED26AB" w:rsidRPr="005E7BA1">
        <w:rPr>
          <w:rFonts w:ascii="Noto Sans" w:hAnsi="Noto Sans" w:cs="Noto Sans"/>
          <w:sz w:val="20"/>
          <w:szCs w:val="20"/>
        </w:rPr>
        <w:t xml:space="preserve"> en escenarios de contratación de 12, 24 y 36 meses, requerido por la Coordinación de Educación en Salud</w:t>
      </w:r>
      <w:r>
        <w:rPr>
          <w:rFonts w:ascii="Noto Sans" w:hAnsi="Noto Sans" w:cs="Noto Sans"/>
          <w:sz w:val="20"/>
          <w:szCs w:val="20"/>
        </w:rPr>
        <w:t>:</w:t>
      </w:r>
    </w:p>
    <w:p w14:paraId="69B4A257" w14:textId="77777777" w:rsidR="007A251E" w:rsidRPr="001337DC" w:rsidRDefault="007A251E" w:rsidP="007A251E">
      <w:pPr>
        <w:ind w:left="-284" w:right="-518"/>
        <w:jc w:val="both"/>
        <w:rPr>
          <w:rFonts w:ascii="Noto Sans" w:hAnsi="Noto Sans" w:cs="Noto Sans"/>
          <w:b/>
          <w:sz w:val="20"/>
          <w:szCs w:val="20"/>
        </w:rPr>
      </w:pPr>
    </w:p>
    <w:p w14:paraId="51C4E0F6" w14:textId="77777777" w:rsidR="007A251E" w:rsidRPr="001337DC" w:rsidRDefault="007A251E" w:rsidP="007A251E">
      <w:pPr>
        <w:ind w:left="-284" w:right="-518"/>
        <w:jc w:val="both"/>
        <w:rPr>
          <w:rFonts w:ascii="Noto Sans" w:hAnsi="Noto Sans" w:cs="Noto Sans"/>
          <w:b/>
          <w:sz w:val="20"/>
          <w:szCs w:val="20"/>
        </w:rPr>
      </w:pPr>
      <w:r w:rsidRPr="001337DC">
        <w:rPr>
          <w:rFonts w:ascii="Noto Sans" w:eastAsia="Times New Roman" w:hAnsi="Noto Sans" w:cs="Noto Sans"/>
          <w:b/>
          <w:sz w:val="20"/>
          <w:szCs w:val="20"/>
          <w:lang w:eastAsia="es-ES"/>
        </w:rPr>
        <w:t>Para 12 meses:</w:t>
      </w:r>
    </w:p>
    <w:tbl>
      <w:tblPr>
        <w:tblW w:w="5369" w:type="pct"/>
        <w:tblInd w:w="-214" w:type="dxa"/>
        <w:tblLayout w:type="fixed"/>
        <w:tblCellMar>
          <w:left w:w="70" w:type="dxa"/>
          <w:right w:w="70" w:type="dxa"/>
        </w:tblCellMar>
        <w:tblLook w:val="04A0" w:firstRow="1" w:lastRow="0" w:firstColumn="1" w:lastColumn="0" w:noHBand="0" w:noVBand="1"/>
      </w:tblPr>
      <w:tblGrid>
        <w:gridCol w:w="901"/>
        <w:gridCol w:w="1085"/>
        <w:gridCol w:w="3043"/>
        <w:gridCol w:w="1246"/>
        <w:gridCol w:w="836"/>
        <w:gridCol w:w="557"/>
        <w:gridCol w:w="838"/>
        <w:gridCol w:w="417"/>
        <w:gridCol w:w="557"/>
      </w:tblGrid>
      <w:tr w:rsidR="007A251E" w:rsidRPr="00C01624" w14:paraId="34EB0182" w14:textId="77777777" w:rsidTr="00427E1C">
        <w:trPr>
          <w:trHeight w:val="540"/>
          <w:tblHeader/>
        </w:trPr>
        <w:tc>
          <w:tcPr>
            <w:tcW w:w="475" w:type="pct"/>
            <w:tcBorders>
              <w:top w:val="single" w:sz="4" w:space="0" w:color="auto"/>
              <w:left w:val="single" w:sz="4" w:space="0" w:color="auto"/>
              <w:bottom w:val="single" w:sz="4" w:space="0" w:color="auto"/>
              <w:right w:val="single" w:sz="4" w:space="0" w:color="auto"/>
            </w:tcBorders>
            <w:vAlign w:val="center"/>
            <w:hideMark/>
          </w:tcPr>
          <w:p w14:paraId="08F712CA"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eastAsia="es-MX"/>
              </w:rPr>
              <w:t>Partida</w:t>
            </w:r>
          </w:p>
        </w:tc>
        <w:tc>
          <w:tcPr>
            <w:tcW w:w="572" w:type="pct"/>
            <w:tcBorders>
              <w:top w:val="single" w:sz="4" w:space="0" w:color="auto"/>
              <w:left w:val="nil"/>
              <w:bottom w:val="single" w:sz="4" w:space="0" w:color="auto"/>
              <w:right w:val="single" w:sz="4" w:space="0" w:color="auto"/>
            </w:tcBorders>
            <w:vAlign w:val="center"/>
            <w:hideMark/>
          </w:tcPr>
          <w:p w14:paraId="0998858F"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eastAsia="es-MX"/>
              </w:rPr>
              <w:t>Componente o servicio</w:t>
            </w:r>
          </w:p>
        </w:tc>
        <w:tc>
          <w:tcPr>
            <w:tcW w:w="1605" w:type="pct"/>
            <w:tcBorders>
              <w:top w:val="single" w:sz="4" w:space="0" w:color="auto"/>
              <w:left w:val="nil"/>
              <w:bottom w:val="single" w:sz="4" w:space="0" w:color="auto"/>
              <w:right w:val="single" w:sz="4" w:space="0" w:color="auto"/>
            </w:tcBorders>
            <w:vAlign w:val="center"/>
            <w:hideMark/>
          </w:tcPr>
          <w:p w14:paraId="3B487EF0"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Descripción</w:t>
            </w:r>
          </w:p>
        </w:tc>
        <w:tc>
          <w:tcPr>
            <w:tcW w:w="657" w:type="pct"/>
            <w:tcBorders>
              <w:top w:val="single" w:sz="4" w:space="0" w:color="auto"/>
              <w:left w:val="nil"/>
              <w:bottom w:val="single" w:sz="4" w:space="0" w:color="auto"/>
              <w:right w:val="single" w:sz="4" w:space="0" w:color="auto"/>
            </w:tcBorders>
            <w:vAlign w:val="center"/>
            <w:hideMark/>
          </w:tcPr>
          <w:p w14:paraId="673A9BAC"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Especificación</w:t>
            </w:r>
          </w:p>
        </w:tc>
        <w:tc>
          <w:tcPr>
            <w:tcW w:w="441" w:type="pct"/>
            <w:tcBorders>
              <w:top w:val="single" w:sz="4" w:space="0" w:color="auto"/>
              <w:left w:val="nil"/>
              <w:bottom w:val="single" w:sz="4" w:space="0" w:color="auto"/>
              <w:right w:val="single" w:sz="4" w:space="0" w:color="auto"/>
            </w:tcBorders>
            <w:vAlign w:val="center"/>
            <w:hideMark/>
          </w:tcPr>
          <w:p w14:paraId="4E72F132"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Tipo</w:t>
            </w:r>
          </w:p>
        </w:tc>
        <w:tc>
          <w:tcPr>
            <w:tcW w:w="294" w:type="pct"/>
            <w:tcBorders>
              <w:top w:val="single" w:sz="4" w:space="0" w:color="auto"/>
              <w:left w:val="nil"/>
              <w:bottom w:val="single" w:sz="4" w:space="0" w:color="auto"/>
              <w:right w:val="single" w:sz="4" w:space="0" w:color="auto"/>
            </w:tcBorders>
            <w:vAlign w:val="center"/>
            <w:hideMark/>
          </w:tcPr>
          <w:p w14:paraId="2A9BF198"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P/U</w:t>
            </w:r>
          </w:p>
        </w:tc>
        <w:tc>
          <w:tcPr>
            <w:tcW w:w="442" w:type="pct"/>
            <w:tcBorders>
              <w:top w:val="single" w:sz="4" w:space="0" w:color="auto"/>
              <w:left w:val="nil"/>
              <w:bottom w:val="single" w:sz="4" w:space="0" w:color="auto"/>
              <w:right w:val="single" w:sz="4" w:space="0" w:color="auto"/>
            </w:tcBorders>
            <w:vAlign w:val="center"/>
            <w:hideMark/>
          </w:tcPr>
          <w:p w14:paraId="3B90134F"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Subtotal</w:t>
            </w:r>
          </w:p>
        </w:tc>
        <w:tc>
          <w:tcPr>
            <w:tcW w:w="220" w:type="pct"/>
            <w:tcBorders>
              <w:top w:val="single" w:sz="4" w:space="0" w:color="auto"/>
              <w:left w:val="nil"/>
              <w:bottom w:val="single" w:sz="4" w:space="0" w:color="auto"/>
              <w:right w:val="single" w:sz="4" w:space="0" w:color="auto"/>
            </w:tcBorders>
            <w:vAlign w:val="center"/>
            <w:hideMark/>
          </w:tcPr>
          <w:p w14:paraId="2141954B"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IVA</w:t>
            </w:r>
          </w:p>
        </w:tc>
        <w:tc>
          <w:tcPr>
            <w:tcW w:w="294" w:type="pct"/>
            <w:tcBorders>
              <w:top w:val="single" w:sz="4" w:space="0" w:color="auto"/>
              <w:left w:val="nil"/>
              <w:bottom w:val="single" w:sz="4" w:space="0" w:color="auto"/>
              <w:right w:val="single" w:sz="4" w:space="0" w:color="auto"/>
            </w:tcBorders>
            <w:vAlign w:val="center"/>
            <w:hideMark/>
          </w:tcPr>
          <w:p w14:paraId="6C091EAF"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Total</w:t>
            </w:r>
          </w:p>
        </w:tc>
      </w:tr>
      <w:tr w:rsidR="007A251E" w:rsidRPr="00C01624" w14:paraId="3397D256" w14:textId="77777777" w:rsidTr="00427E1C">
        <w:trPr>
          <w:trHeight w:val="1620"/>
        </w:trPr>
        <w:tc>
          <w:tcPr>
            <w:tcW w:w="475" w:type="pct"/>
            <w:vMerge w:val="restart"/>
            <w:tcBorders>
              <w:top w:val="nil"/>
              <w:left w:val="single" w:sz="4" w:space="0" w:color="auto"/>
              <w:bottom w:val="single" w:sz="4" w:space="0" w:color="auto"/>
              <w:right w:val="single" w:sz="4" w:space="0" w:color="auto"/>
            </w:tcBorders>
            <w:vAlign w:val="center"/>
            <w:hideMark/>
          </w:tcPr>
          <w:p w14:paraId="36A59B4A" w14:textId="77777777" w:rsidR="007A251E" w:rsidRPr="00C01624" w:rsidRDefault="007A251E" w:rsidP="00427E1C">
            <w:pPr>
              <w:jc w:val="center"/>
              <w:rPr>
                <w:rFonts w:ascii="Noto Sans" w:eastAsia="Times New Roman" w:hAnsi="Noto Sans" w:cs="Noto Sans"/>
                <w:color w:val="000000"/>
                <w:sz w:val="16"/>
                <w:szCs w:val="16"/>
                <w:lang w:val="es-MX" w:eastAsia="es-MX"/>
              </w:rPr>
            </w:pPr>
            <w:r w:rsidRPr="00C01624">
              <w:rPr>
                <w:rFonts w:ascii="Noto Sans" w:eastAsia="Times New Roman" w:hAnsi="Noto Sans" w:cs="Noto Sans"/>
                <w:iCs/>
                <w:color w:val="000000"/>
                <w:sz w:val="16"/>
                <w:szCs w:val="16"/>
                <w:lang w:eastAsia="es-MX"/>
              </w:rPr>
              <w:t>1</w:t>
            </w:r>
          </w:p>
        </w:tc>
        <w:tc>
          <w:tcPr>
            <w:tcW w:w="572" w:type="pct"/>
            <w:tcBorders>
              <w:top w:val="nil"/>
              <w:left w:val="nil"/>
              <w:bottom w:val="single" w:sz="4" w:space="0" w:color="auto"/>
              <w:right w:val="single" w:sz="4" w:space="0" w:color="auto"/>
            </w:tcBorders>
            <w:vAlign w:val="center"/>
            <w:hideMark/>
          </w:tcPr>
          <w:p w14:paraId="0A432F2B"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Paquete Science Direct Colecciones</w:t>
            </w:r>
          </w:p>
        </w:tc>
        <w:tc>
          <w:tcPr>
            <w:tcW w:w="1605" w:type="pct"/>
            <w:tcBorders>
              <w:top w:val="nil"/>
              <w:left w:val="nil"/>
              <w:bottom w:val="single" w:sz="4" w:space="0" w:color="auto"/>
              <w:right w:val="single" w:sz="4" w:space="0" w:color="auto"/>
            </w:tcBorders>
            <w:vAlign w:val="center"/>
            <w:hideMark/>
          </w:tcPr>
          <w:p w14:paraId="4E752A76"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Revistas científicas y libros electrónicos: Plataforma más importante a nivel mundial de literatura revisada por pares. Science Direct combina publicaciones científicas, técnicas y de ciencias de la salud a texto completo con una funcionalidad inteligente e intuitiva para que los usuarios puedan mantenerse informados en sus campos y puedan trabajar de forma más eficaz y eficiente.</w:t>
            </w:r>
          </w:p>
        </w:tc>
        <w:tc>
          <w:tcPr>
            <w:tcW w:w="657" w:type="pct"/>
            <w:tcBorders>
              <w:top w:val="nil"/>
              <w:left w:val="nil"/>
              <w:bottom w:val="single" w:sz="4" w:space="0" w:color="auto"/>
              <w:right w:val="single" w:sz="4" w:space="0" w:color="auto"/>
            </w:tcBorders>
            <w:vAlign w:val="center"/>
            <w:hideMark/>
          </w:tcPr>
          <w:p w14:paraId="7FEAC04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6BDFC56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2A4D74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08E2ECE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04A6F8F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14A907A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7E5A8884" w14:textId="77777777" w:rsidTr="00427E1C">
        <w:trPr>
          <w:trHeight w:val="2700"/>
        </w:trPr>
        <w:tc>
          <w:tcPr>
            <w:tcW w:w="475" w:type="pct"/>
            <w:vMerge/>
            <w:tcBorders>
              <w:top w:val="nil"/>
              <w:left w:val="single" w:sz="4" w:space="0" w:color="auto"/>
              <w:bottom w:val="single" w:sz="4" w:space="0" w:color="auto"/>
              <w:right w:val="single" w:sz="4" w:space="0" w:color="auto"/>
            </w:tcBorders>
            <w:vAlign w:val="center"/>
            <w:hideMark/>
          </w:tcPr>
          <w:p w14:paraId="626D0E6C" w14:textId="77777777" w:rsidR="007A251E" w:rsidRPr="00C01624" w:rsidRDefault="007A251E" w:rsidP="00427E1C">
            <w:pPr>
              <w:rPr>
                <w:rFonts w:ascii="Noto Sans" w:eastAsia="Times New Roman" w:hAnsi="Noto Sans" w:cs="Noto San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CCF35A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Clinical Key (Colecciones)</w:t>
            </w:r>
          </w:p>
        </w:tc>
        <w:tc>
          <w:tcPr>
            <w:tcW w:w="1605" w:type="pct"/>
            <w:tcBorders>
              <w:top w:val="nil"/>
              <w:left w:val="nil"/>
              <w:bottom w:val="single" w:sz="4" w:space="0" w:color="auto"/>
              <w:right w:val="single" w:sz="4" w:space="0" w:color="auto"/>
            </w:tcBorders>
            <w:vAlign w:val="center"/>
            <w:hideMark/>
          </w:tcPr>
          <w:p w14:paraId="044926A7"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Base de datos: Permite el acceso a información clínica, tanto para un conocimiento en profundidad como para obtener respuestas rápidas. Integra las referencias a las fuentes completas, con contenidos multidisciplinares a texto completo de revista medico científicas, libros de especialidades, guías clínicas o resúmenes, o con los contenidos necesarios en el Punto de Cuidado. Reduce el tiempo de respuesta, lo que permite que los profesionales clínicos encuentren, sinteticen y apliquen rápidamente la información que necesitan en el momento adecuado, como apoyo a una atención sanitaria basada en la evidencia y un aprendizaje permanente.</w:t>
            </w:r>
          </w:p>
        </w:tc>
        <w:tc>
          <w:tcPr>
            <w:tcW w:w="657" w:type="pct"/>
            <w:tcBorders>
              <w:top w:val="nil"/>
              <w:left w:val="nil"/>
              <w:bottom w:val="single" w:sz="4" w:space="0" w:color="auto"/>
              <w:right w:val="single" w:sz="4" w:space="0" w:color="auto"/>
            </w:tcBorders>
            <w:vAlign w:val="center"/>
            <w:hideMark/>
          </w:tcPr>
          <w:p w14:paraId="055C7AE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47E2FC0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69EA8C4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6614586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35916F9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772E8D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2DE3F2E0" w14:textId="77777777" w:rsidTr="007A251E">
        <w:trPr>
          <w:trHeight w:val="716"/>
        </w:trPr>
        <w:tc>
          <w:tcPr>
            <w:tcW w:w="475" w:type="pct"/>
            <w:vMerge/>
            <w:tcBorders>
              <w:top w:val="nil"/>
              <w:left w:val="single" w:sz="4" w:space="0" w:color="auto"/>
              <w:bottom w:val="single" w:sz="4" w:space="0" w:color="auto"/>
              <w:right w:val="single" w:sz="4" w:space="0" w:color="auto"/>
            </w:tcBorders>
            <w:vAlign w:val="center"/>
            <w:hideMark/>
          </w:tcPr>
          <w:p w14:paraId="7234340D" w14:textId="77777777" w:rsidR="007A251E" w:rsidRPr="00C01624" w:rsidRDefault="007A251E" w:rsidP="00427E1C">
            <w:pPr>
              <w:rPr>
                <w:rFonts w:ascii="Noto Sans" w:eastAsia="Times New Roman" w:hAnsi="Noto Sans" w:cs="Noto San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57BDB98D"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Science Direct Revistas científicas Lancet</w:t>
            </w:r>
          </w:p>
        </w:tc>
        <w:tc>
          <w:tcPr>
            <w:tcW w:w="1605" w:type="pct"/>
            <w:tcBorders>
              <w:top w:val="nil"/>
              <w:left w:val="nil"/>
              <w:bottom w:val="single" w:sz="4" w:space="0" w:color="auto"/>
              <w:right w:val="single" w:sz="4" w:space="0" w:color="auto"/>
            </w:tcBorders>
            <w:vAlign w:val="center"/>
            <w:hideMark/>
          </w:tcPr>
          <w:p w14:paraId="2484468B"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Revistas científicas:Alcance y contenido. The Lancet publica investigaciones originales, revisiones, comentarios, editoriales y perspectivas sobre una amplia gama de temas médicos.Se centra en estudios clínicos de alta calidad, ensayos controlados aleatorios, revisiones sistemáticas y metaanálisis.Aborda también temas de salud global, políticas sanitarias y cuestiones éticas en la medicina.Tipos de publicaciones: artículos originales, </w:t>
            </w:r>
            <w:r w:rsidRPr="00C01624">
              <w:rPr>
                <w:rFonts w:ascii="Noto Sans" w:eastAsia="Times New Roman" w:hAnsi="Noto Sans" w:cs="Noto Sans"/>
                <w:i/>
                <w:iCs/>
                <w:color w:val="000000"/>
                <w:sz w:val="16"/>
                <w:szCs w:val="16"/>
                <w:lang w:eastAsia="es-MX"/>
              </w:rPr>
              <w:lastRenderedPageBreak/>
              <w:t>revisiones y series, comentarios y correspondencia, editoriales.</w:t>
            </w:r>
          </w:p>
        </w:tc>
        <w:tc>
          <w:tcPr>
            <w:tcW w:w="657" w:type="pct"/>
            <w:tcBorders>
              <w:top w:val="nil"/>
              <w:left w:val="nil"/>
              <w:bottom w:val="single" w:sz="4" w:space="0" w:color="auto"/>
              <w:right w:val="single" w:sz="4" w:space="0" w:color="auto"/>
            </w:tcBorders>
            <w:vAlign w:val="center"/>
            <w:hideMark/>
          </w:tcPr>
          <w:p w14:paraId="019300B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lastRenderedPageBreak/>
              <w:t>Repositorio de información</w:t>
            </w:r>
          </w:p>
        </w:tc>
        <w:tc>
          <w:tcPr>
            <w:tcW w:w="441" w:type="pct"/>
            <w:tcBorders>
              <w:top w:val="nil"/>
              <w:left w:val="nil"/>
              <w:bottom w:val="single" w:sz="4" w:space="0" w:color="auto"/>
              <w:right w:val="single" w:sz="4" w:space="0" w:color="auto"/>
            </w:tcBorders>
            <w:vAlign w:val="center"/>
            <w:hideMark/>
          </w:tcPr>
          <w:p w14:paraId="7F8E30A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CECA8BF"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6E1269FF"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537947D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6EC59B4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4FBF593E" w14:textId="77777777" w:rsidTr="00427E1C">
        <w:trPr>
          <w:trHeight w:val="2160"/>
        </w:trPr>
        <w:tc>
          <w:tcPr>
            <w:tcW w:w="475" w:type="pct"/>
            <w:tcBorders>
              <w:top w:val="nil"/>
              <w:left w:val="single" w:sz="4" w:space="0" w:color="auto"/>
              <w:bottom w:val="single" w:sz="4" w:space="0" w:color="auto"/>
              <w:right w:val="single" w:sz="4" w:space="0" w:color="auto"/>
            </w:tcBorders>
            <w:vAlign w:val="center"/>
            <w:hideMark/>
          </w:tcPr>
          <w:p w14:paraId="1CE958D0" w14:textId="77777777" w:rsidR="007A251E" w:rsidRPr="00C01624" w:rsidRDefault="007A251E" w:rsidP="00427E1C">
            <w:pPr>
              <w:jc w:val="center"/>
              <w:rPr>
                <w:rFonts w:ascii="Noto Sans" w:eastAsia="Times New Roman" w:hAnsi="Noto Sans" w:cs="Noto Sans"/>
                <w:color w:val="000000"/>
                <w:sz w:val="16"/>
                <w:szCs w:val="16"/>
                <w:lang w:val="es-MX" w:eastAsia="es-MX"/>
              </w:rPr>
            </w:pPr>
            <w:r w:rsidRPr="00C01624">
              <w:rPr>
                <w:rFonts w:ascii="Noto Sans" w:eastAsia="Times New Roman" w:hAnsi="Noto Sans" w:cs="Noto Sans"/>
                <w:color w:val="000000"/>
                <w:sz w:val="16"/>
                <w:szCs w:val="16"/>
                <w:lang w:val="en-US" w:eastAsia="es-MX"/>
              </w:rPr>
              <w:lastRenderedPageBreak/>
              <w:t>2</w:t>
            </w:r>
          </w:p>
        </w:tc>
        <w:tc>
          <w:tcPr>
            <w:tcW w:w="572" w:type="pct"/>
            <w:tcBorders>
              <w:top w:val="nil"/>
              <w:left w:val="nil"/>
              <w:bottom w:val="single" w:sz="4" w:space="0" w:color="auto"/>
              <w:right w:val="single" w:sz="4" w:space="0" w:color="auto"/>
            </w:tcBorders>
            <w:vAlign w:val="center"/>
            <w:hideMark/>
          </w:tcPr>
          <w:p w14:paraId="3F00EA72" w14:textId="77777777" w:rsidR="007A251E" w:rsidRPr="00C21DAC" w:rsidRDefault="007A251E" w:rsidP="00427E1C">
            <w:pPr>
              <w:rPr>
                <w:rFonts w:ascii="Noto Sans" w:eastAsia="Times New Roman" w:hAnsi="Noto Sans" w:cs="Noto Sans"/>
                <w:i/>
                <w:iCs/>
                <w:color w:val="000000"/>
                <w:sz w:val="16"/>
                <w:szCs w:val="16"/>
                <w:lang w:val="en-US" w:eastAsia="es-MX"/>
              </w:rPr>
            </w:pPr>
            <w:r w:rsidRPr="00C01624">
              <w:rPr>
                <w:rFonts w:ascii="Noto Sans" w:eastAsia="Times New Roman" w:hAnsi="Noto Sans" w:cs="Noto Sans"/>
                <w:i/>
                <w:iCs/>
                <w:color w:val="000000"/>
                <w:sz w:val="16"/>
                <w:szCs w:val="16"/>
                <w:lang w:val="en-US" w:eastAsia="es-MX"/>
              </w:rPr>
              <w:t>The New England Journal of Medicine</w:t>
            </w:r>
          </w:p>
        </w:tc>
        <w:tc>
          <w:tcPr>
            <w:tcW w:w="1605" w:type="pct"/>
            <w:tcBorders>
              <w:top w:val="nil"/>
              <w:left w:val="nil"/>
              <w:bottom w:val="single" w:sz="4" w:space="0" w:color="auto"/>
              <w:right w:val="single" w:sz="4" w:space="0" w:color="auto"/>
            </w:tcBorders>
            <w:vAlign w:val="center"/>
            <w:hideMark/>
          </w:tcPr>
          <w:p w14:paraId="212EEAD0"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 Médica:Publica investigaciones originales, revisiones editoriales, perspectivas, casos clínicos y cartas al editor sobre una amplia gama de especialidades médicas, incluyendo medicina interna, oncología, cardiología, neurología, enfermedades infecciosas, entre otras. Es conocida por sus ensayos clínicos de alta calidad, estudios observacionales y metaanálisis que influyen directamente en las guías clínicas. También aborda temas de salud pública, políticas sanitarias, ética médica y avances tecnológicos en medicina.</w:t>
            </w:r>
          </w:p>
        </w:tc>
        <w:tc>
          <w:tcPr>
            <w:tcW w:w="657" w:type="pct"/>
            <w:tcBorders>
              <w:top w:val="nil"/>
              <w:left w:val="nil"/>
              <w:bottom w:val="single" w:sz="4" w:space="0" w:color="auto"/>
              <w:right w:val="single" w:sz="4" w:space="0" w:color="auto"/>
            </w:tcBorders>
            <w:vAlign w:val="center"/>
            <w:hideMark/>
          </w:tcPr>
          <w:p w14:paraId="1FF2E76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44A4635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7182C86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4150120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37D0904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73CBA2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5F35CDB5" w14:textId="77777777" w:rsidTr="00427E1C">
        <w:trPr>
          <w:trHeight w:val="1350"/>
        </w:trPr>
        <w:tc>
          <w:tcPr>
            <w:tcW w:w="475" w:type="pct"/>
            <w:vMerge w:val="restart"/>
            <w:tcBorders>
              <w:top w:val="nil"/>
              <w:left w:val="single" w:sz="4" w:space="0" w:color="auto"/>
              <w:bottom w:val="single" w:sz="4" w:space="0" w:color="auto"/>
              <w:right w:val="single" w:sz="4" w:space="0" w:color="auto"/>
            </w:tcBorders>
            <w:vAlign w:val="center"/>
            <w:hideMark/>
          </w:tcPr>
          <w:p w14:paraId="7ACF73E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3</w:t>
            </w:r>
          </w:p>
        </w:tc>
        <w:tc>
          <w:tcPr>
            <w:tcW w:w="572" w:type="pct"/>
            <w:tcBorders>
              <w:top w:val="nil"/>
              <w:left w:val="nil"/>
              <w:bottom w:val="single" w:sz="4" w:space="0" w:color="auto"/>
              <w:right w:val="single" w:sz="4" w:space="0" w:color="auto"/>
            </w:tcBorders>
            <w:vAlign w:val="center"/>
            <w:hideMark/>
          </w:tcPr>
          <w:p w14:paraId="039DDFE7"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Dynamed</w:t>
            </w:r>
          </w:p>
        </w:tc>
        <w:tc>
          <w:tcPr>
            <w:tcW w:w="1605" w:type="pct"/>
            <w:tcBorders>
              <w:top w:val="nil"/>
              <w:left w:val="nil"/>
              <w:bottom w:val="single" w:sz="4" w:space="0" w:color="auto"/>
              <w:right w:val="single" w:sz="4" w:space="0" w:color="auto"/>
            </w:tcBorders>
            <w:vAlign w:val="center"/>
            <w:hideMark/>
          </w:tcPr>
          <w:p w14:paraId="5AA34DF3"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Herramienta de apoyo en el punto de decisión a la que acuden los médicos para obtener respuestas. El contenido está escrito por un equipo de médicos y especialistas de clase mundial que sintetizan la evidencia, brindan un análisis objetivo y proveen orientación con detalles transparentes para ayudar en el proceso de toma de decisiones clínicas.</w:t>
            </w:r>
          </w:p>
        </w:tc>
        <w:tc>
          <w:tcPr>
            <w:tcW w:w="657" w:type="pct"/>
            <w:tcBorders>
              <w:top w:val="nil"/>
              <w:left w:val="nil"/>
              <w:bottom w:val="single" w:sz="4" w:space="0" w:color="auto"/>
              <w:right w:val="single" w:sz="4" w:space="0" w:color="auto"/>
            </w:tcBorders>
            <w:vAlign w:val="center"/>
            <w:hideMark/>
          </w:tcPr>
          <w:p w14:paraId="45F2437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7A13CE9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64E8D82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53B87E9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67DC884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12659C9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6D8F7AAE" w14:textId="77777777" w:rsidTr="00427E1C">
        <w:trPr>
          <w:trHeight w:val="1080"/>
        </w:trPr>
        <w:tc>
          <w:tcPr>
            <w:tcW w:w="475" w:type="pct"/>
            <w:vMerge/>
            <w:tcBorders>
              <w:top w:val="nil"/>
              <w:left w:val="single" w:sz="4" w:space="0" w:color="auto"/>
              <w:bottom w:val="single" w:sz="4" w:space="0" w:color="auto"/>
              <w:right w:val="single" w:sz="4" w:space="0" w:color="auto"/>
            </w:tcBorders>
            <w:vAlign w:val="center"/>
            <w:hideMark/>
          </w:tcPr>
          <w:p w14:paraId="2E218C12"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580756E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Medic Latina</w:t>
            </w:r>
          </w:p>
        </w:tc>
        <w:tc>
          <w:tcPr>
            <w:tcW w:w="1605" w:type="pct"/>
            <w:tcBorders>
              <w:top w:val="nil"/>
              <w:left w:val="nil"/>
              <w:bottom w:val="single" w:sz="4" w:space="0" w:color="auto"/>
              <w:right w:val="single" w:sz="4" w:space="0" w:color="auto"/>
            </w:tcBorders>
            <w:vAlign w:val="center"/>
            <w:hideMark/>
          </w:tcPr>
          <w:p w14:paraId="2C9E610B"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Colección de investigaciones médicas y revistas científicas de reconocidas editoriales latinoamericanas y españolas, contiene una tabla completa de contenido y texto completo en PDF para revistas médicas revisadas por pares en español: 135 revistas activas de texto completo.</w:t>
            </w:r>
          </w:p>
        </w:tc>
        <w:tc>
          <w:tcPr>
            <w:tcW w:w="657" w:type="pct"/>
            <w:tcBorders>
              <w:top w:val="nil"/>
              <w:left w:val="nil"/>
              <w:bottom w:val="single" w:sz="4" w:space="0" w:color="auto"/>
              <w:right w:val="single" w:sz="4" w:space="0" w:color="auto"/>
            </w:tcBorders>
            <w:vAlign w:val="center"/>
            <w:hideMark/>
          </w:tcPr>
          <w:p w14:paraId="52FDBD8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6B5C0E3F"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459B87E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7AB9EDC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49E2E57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08A1D3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6774D4D7" w14:textId="77777777" w:rsidTr="00427E1C">
        <w:trPr>
          <w:trHeight w:val="1350"/>
        </w:trPr>
        <w:tc>
          <w:tcPr>
            <w:tcW w:w="475" w:type="pct"/>
            <w:vMerge/>
            <w:tcBorders>
              <w:top w:val="nil"/>
              <w:left w:val="single" w:sz="4" w:space="0" w:color="auto"/>
              <w:bottom w:val="single" w:sz="4" w:space="0" w:color="auto"/>
              <w:right w:val="single" w:sz="4" w:space="0" w:color="auto"/>
            </w:tcBorders>
            <w:vAlign w:val="center"/>
            <w:hideMark/>
          </w:tcPr>
          <w:p w14:paraId="34624BCA"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3A02517C"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Medline Ultimate</w:t>
            </w:r>
          </w:p>
        </w:tc>
        <w:tc>
          <w:tcPr>
            <w:tcW w:w="1605" w:type="pct"/>
            <w:tcBorders>
              <w:top w:val="nil"/>
              <w:left w:val="nil"/>
              <w:bottom w:val="single" w:sz="4" w:space="0" w:color="auto"/>
              <w:right w:val="single" w:sz="4" w:space="0" w:color="auto"/>
            </w:tcBorders>
            <w:vAlign w:val="center"/>
            <w:hideMark/>
          </w:tcPr>
          <w:p w14:paraId="05FCD85E"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Base de datos de texto completo proporciona acceso a revistas biomédicas y de salud de primer nivel. Abarca una amplia gama de temas, es un recurso esencial para los médicos, enfermeras, profesionales de la salud y los investigadores dedicados a la atención clínica, la salud pública y el desarrollo de políticas de salud. </w:t>
            </w:r>
          </w:p>
        </w:tc>
        <w:tc>
          <w:tcPr>
            <w:tcW w:w="657" w:type="pct"/>
            <w:tcBorders>
              <w:top w:val="nil"/>
              <w:left w:val="nil"/>
              <w:bottom w:val="single" w:sz="4" w:space="0" w:color="auto"/>
              <w:right w:val="single" w:sz="4" w:space="0" w:color="auto"/>
            </w:tcBorders>
            <w:vAlign w:val="center"/>
            <w:hideMark/>
          </w:tcPr>
          <w:p w14:paraId="50054B3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7623583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44FD258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E949DC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6674D16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A93140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35D031D1" w14:textId="77777777" w:rsidTr="00427E1C">
        <w:trPr>
          <w:trHeight w:val="3510"/>
        </w:trPr>
        <w:tc>
          <w:tcPr>
            <w:tcW w:w="475" w:type="pct"/>
            <w:vMerge/>
            <w:tcBorders>
              <w:top w:val="nil"/>
              <w:left w:val="single" w:sz="4" w:space="0" w:color="auto"/>
              <w:bottom w:val="single" w:sz="4" w:space="0" w:color="auto"/>
              <w:right w:val="single" w:sz="4" w:space="0" w:color="auto"/>
            </w:tcBorders>
            <w:vAlign w:val="center"/>
            <w:hideMark/>
          </w:tcPr>
          <w:p w14:paraId="08163D10"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58313314"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VIDAL Vademécum</w:t>
            </w:r>
          </w:p>
        </w:tc>
        <w:tc>
          <w:tcPr>
            <w:tcW w:w="1605" w:type="pct"/>
            <w:tcBorders>
              <w:top w:val="nil"/>
              <w:left w:val="nil"/>
              <w:bottom w:val="single" w:sz="4" w:space="0" w:color="auto"/>
              <w:right w:val="single" w:sz="4" w:space="0" w:color="auto"/>
            </w:tcBorders>
            <w:vAlign w:val="center"/>
            <w:hideMark/>
          </w:tcPr>
          <w:p w14:paraId="72815CCE"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Base de datos web más completa que cubre una amplia gama de información de referencia de medicamentos de América Latina en español. ViDAL Consult impulsa a cientos de miles de profesionales de la salud en América Latina, Europa y África a tomar decisiones confiables y se actualiza constantemente con la información más reciente sobre medicamentos. Con ViDAL Consult, los médicos pueden acceder rápidamente a las propiedades clínicas de un fármaco, así como a la información de riesgo relacionada con los pacientes, ayudándoles a tomar la mejor decisión al prescribir. Los usuarios también pueden identificar las equivalencias extranjeras de un producto de una lista de casi 250.000 medicamentos referenciados en 39 países de los 5 continentes. Por el contrario, también pueden encontrar los equivalentes locales de un medicamento recetado en otro país.</w:t>
            </w:r>
          </w:p>
        </w:tc>
        <w:tc>
          <w:tcPr>
            <w:tcW w:w="657" w:type="pct"/>
            <w:tcBorders>
              <w:top w:val="nil"/>
              <w:left w:val="nil"/>
              <w:bottom w:val="single" w:sz="4" w:space="0" w:color="auto"/>
              <w:right w:val="single" w:sz="4" w:space="0" w:color="auto"/>
            </w:tcBorders>
            <w:vAlign w:val="center"/>
            <w:hideMark/>
          </w:tcPr>
          <w:p w14:paraId="67D2432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867BE0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EF22AF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7B66714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414E28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04302D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5264D6A4"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0F13FE9D"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D1B7EC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Ebsco Discovery Index</w:t>
            </w:r>
          </w:p>
        </w:tc>
        <w:tc>
          <w:tcPr>
            <w:tcW w:w="1605" w:type="pct"/>
            <w:tcBorders>
              <w:top w:val="nil"/>
              <w:left w:val="nil"/>
              <w:bottom w:val="single" w:sz="4" w:space="0" w:color="auto"/>
              <w:right w:val="single" w:sz="4" w:space="0" w:color="auto"/>
            </w:tcBorders>
            <w:vAlign w:val="center"/>
            <w:hideMark/>
          </w:tcPr>
          <w:p w14:paraId="72DBD63C"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EBSCO Discovery crea un índice unificado de recursos de información que permite el descubrimiento bibliográfico a través de una simple pero poderosa caja de búsqueda. Esta habilidad de crear una solución personalizada se logra mediante la recopilación de metadatos tanto de fuentes externas como paquetes de editores, bases de datos (agregadores), iniciativas o fuentes de acceso abierto, etc. y fuentes internas como repositorios institucionales, catálogos, etc. para crear un índice de tamaño y velocidad sin precedentes. </w:t>
            </w:r>
          </w:p>
        </w:tc>
        <w:tc>
          <w:tcPr>
            <w:tcW w:w="657" w:type="pct"/>
            <w:tcBorders>
              <w:top w:val="nil"/>
              <w:left w:val="nil"/>
              <w:bottom w:val="single" w:sz="4" w:space="0" w:color="auto"/>
              <w:right w:val="single" w:sz="4" w:space="0" w:color="auto"/>
            </w:tcBorders>
            <w:vAlign w:val="center"/>
            <w:hideMark/>
          </w:tcPr>
          <w:p w14:paraId="76B6A73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583AE1A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65EF54F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299BD31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59FDCBC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787F9AD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69087BA7"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018B4100"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5649544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Ebook Medical Su</w:t>
            </w:r>
            <w:r>
              <w:rPr>
                <w:rFonts w:ascii="Noto Sans" w:eastAsia="Times New Roman" w:hAnsi="Noto Sans" w:cs="Noto Sans"/>
                <w:i/>
                <w:iCs/>
                <w:color w:val="000000"/>
                <w:sz w:val="16"/>
                <w:szCs w:val="16"/>
                <w:lang w:eastAsia="es-MX"/>
              </w:rPr>
              <w:t>b</w:t>
            </w:r>
            <w:r w:rsidRPr="00C01624">
              <w:rPr>
                <w:rFonts w:ascii="Noto Sans" w:eastAsia="Times New Roman" w:hAnsi="Noto Sans" w:cs="Noto Sans"/>
                <w:i/>
                <w:iCs/>
                <w:color w:val="000000"/>
                <w:sz w:val="16"/>
                <w:szCs w:val="16"/>
                <w:lang w:eastAsia="es-MX"/>
              </w:rPr>
              <w:t>scription Collection</w:t>
            </w:r>
          </w:p>
        </w:tc>
        <w:tc>
          <w:tcPr>
            <w:tcW w:w="1605" w:type="pct"/>
            <w:tcBorders>
              <w:top w:val="nil"/>
              <w:left w:val="nil"/>
              <w:bottom w:val="single" w:sz="4" w:space="0" w:color="auto"/>
              <w:right w:val="single" w:sz="4" w:space="0" w:color="auto"/>
            </w:tcBorders>
            <w:vAlign w:val="center"/>
            <w:hideMark/>
          </w:tcPr>
          <w:p w14:paraId="5633C366"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Colección de suscripción que contiene más de 4,300 títulos de calidad que se centran en las especialidades médicas, enfermería, salud aliada y áreas de medicina general. Los usuarios tienen acceso a la información más actual; todos los títulos de la colección son del 2008 y hacia adelante (con una mayoría significativa de los títulos de 2010 y posterior), y los títulos más nuevos reemplazan el contenido más antiguo, estas actualizaciones se realizan para que los usuarios siempre tengan acceso a la información más reciente.  </w:t>
            </w:r>
          </w:p>
        </w:tc>
        <w:tc>
          <w:tcPr>
            <w:tcW w:w="657" w:type="pct"/>
            <w:tcBorders>
              <w:top w:val="nil"/>
              <w:left w:val="nil"/>
              <w:bottom w:val="single" w:sz="4" w:space="0" w:color="auto"/>
              <w:right w:val="single" w:sz="4" w:space="0" w:color="auto"/>
            </w:tcBorders>
            <w:vAlign w:val="center"/>
            <w:hideMark/>
          </w:tcPr>
          <w:p w14:paraId="1ADBF28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2F4E48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7F0496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283C513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D041A7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1178F98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16C21473" w14:textId="77777777" w:rsidTr="00427E1C">
        <w:trPr>
          <w:trHeight w:val="1350"/>
        </w:trPr>
        <w:tc>
          <w:tcPr>
            <w:tcW w:w="475" w:type="pct"/>
            <w:vMerge/>
            <w:tcBorders>
              <w:top w:val="nil"/>
              <w:left w:val="single" w:sz="4" w:space="0" w:color="auto"/>
              <w:bottom w:val="single" w:sz="4" w:space="0" w:color="auto"/>
              <w:right w:val="single" w:sz="4" w:space="0" w:color="auto"/>
            </w:tcBorders>
            <w:vAlign w:val="center"/>
            <w:hideMark/>
          </w:tcPr>
          <w:p w14:paraId="057C9731"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17C0E29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CINAHL Ultimate</w:t>
            </w:r>
          </w:p>
        </w:tc>
        <w:tc>
          <w:tcPr>
            <w:tcW w:w="1605" w:type="pct"/>
            <w:tcBorders>
              <w:top w:val="nil"/>
              <w:left w:val="nil"/>
              <w:bottom w:val="single" w:sz="4" w:space="0" w:color="auto"/>
              <w:right w:val="single" w:sz="4" w:space="0" w:color="auto"/>
            </w:tcBorders>
            <w:vAlign w:val="center"/>
            <w:hideMark/>
          </w:tcPr>
          <w:p w14:paraId="5DC229CD"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Recurso fundamental para la investigación en enfermería y salud aliada, ya que ofrece el texto completo de más revistas del índice CINAHL que cualquier otra base de datos. Abarca más de 50 especialidades de enfermería e incluye lecciones rápidas, hojas de cuidados basados en la evidencia, modelos CEU e instrumentos de investigación.</w:t>
            </w:r>
          </w:p>
        </w:tc>
        <w:tc>
          <w:tcPr>
            <w:tcW w:w="657" w:type="pct"/>
            <w:tcBorders>
              <w:top w:val="nil"/>
              <w:left w:val="nil"/>
              <w:bottom w:val="single" w:sz="4" w:space="0" w:color="auto"/>
              <w:right w:val="single" w:sz="4" w:space="0" w:color="auto"/>
            </w:tcBorders>
            <w:vAlign w:val="center"/>
            <w:hideMark/>
          </w:tcPr>
          <w:p w14:paraId="7CCA80F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7FC2D90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710DA6A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3BF5A4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4EF6B77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69E87AF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29AE07CF" w14:textId="77777777" w:rsidTr="00427E1C">
        <w:trPr>
          <w:trHeight w:val="1890"/>
        </w:trPr>
        <w:tc>
          <w:tcPr>
            <w:tcW w:w="475" w:type="pct"/>
            <w:vMerge/>
            <w:tcBorders>
              <w:top w:val="nil"/>
              <w:left w:val="single" w:sz="4" w:space="0" w:color="auto"/>
              <w:bottom w:val="single" w:sz="4" w:space="0" w:color="auto"/>
              <w:right w:val="single" w:sz="4" w:space="0" w:color="auto"/>
            </w:tcBorders>
            <w:vAlign w:val="center"/>
            <w:hideMark/>
          </w:tcPr>
          <w:p w14:paraId="2E973487"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79C6F41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Dynamic Health &amp; Skills</w:t>
            </w:r>
          </w:p>
        </w:tc>
        <w:tc>
          <w:tcPr>
            <w:tcW w:w="1605" w:type="pct"/>
            <w:tcBorders>
              <w:top w:val="nil"/>
              <w:left w:val="nil"/>
              <w:bottom w:val="single" w:sz="4" w:space="0" w:color="auto"/>
              <w:right w:val="single" w:sz="4" w:space="0" w:color="auto"/>
            </w:tcBorders>
            <w:vAlign w:val="center"/>
            <w:hideMark/>
          </w:tcPr>
          <w:p w14:paraId="608ED00C"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Dynamic Health es un recurso innovador basado en la evidencia que ayuda a las enfermeras y profesionales de la salud asociados a dominar las habilidades críticas. Los usuarios pueden encontrar información actual y procesable sobre las competencias básicas de enfermería, la atención transcultural, la capacitación de pacientes, la terapia ocupacional, la terapia del habla, la nutrición y la dietética, el trabajo social y mucho más.</w:t>
            </w:r>
          </w:p>
        </w:tc>
        <w:tc>
          <w:tcPr>
            <w:tcW w:w="657" w:type="pct"/>
            <w:tcBorders>
              <w:top w:val="nil"/>
              <w:left w:val="nil"/>
              <w:bottom w:val="single" w:sz="4" w:space="0" w:color="auto"/>
              <w:right w:val="single" w:sz="4" w:space="0" w:color="auto"/>
            </w:tcBorders>
            <w:vAlign w:val="center"/>
            <w:hideMark/>
          </w:tcPr>
          <w:p w14:paraId="61D0577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10B85AC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B7F696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1FA3CA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67F49B2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DF1A0A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bl>
    <w:p w14:paraId="6FD4670C" w14:textId="77777777" w:rsidR="007A251E" w:rsidRDefault="007A251E" w:rsidP="007A251E">
      <w:pPr>
        <w:rPr>
          <w:rFonts w:ascii="Noto Sans" w:hAnsi="Noto Sans" w:cs="Noto Sans"/>
          <w:sz w:val="20"/>
          <w:szCs w:val="20"/>
        </w:rPr>
      </w:pPr>
    </w:p>
    <w:p w14:paraId="6C8D7335" w14:textId="77777777" w:rsidR="007A251E" w:rsidRDefault="007A251E" w:rsidP="007A251E">
      <w:pPr>
        <w:rPr>
          <w:rFonts w:ascii="Noto Sans" w:hAnsi="Noto Sans" w:cs="Noto Sans"/>
          <w:sz w:val="20"/>
          <w:szCs w:val="20"/>
        </w:rPr>
      </w:pPr>
    </w:p>
    <w:p w14:paraId="42823C48" w14:textId="77777777" w:rsidR="007A251E" w:rsidRPr="001337DC" w:rsidRDefault="007A251E" w:rsidP="007A251E">
      <w:pPr>
        <w:ind w:left="-284"/>
        <w:rPr>
          <w:rFonts w:ascii="Noto Sans" w:hAnsi="Noto Sans" w:cs="Noto Sans"/>
          <w:b/>
          <w:sz w:val="20"/>
          <w:szCs w:val="20"/>
        </w:rPr>
      </w:pPr>
      <w:r w:rsidRPr="001337DC">
        <w:rPr>
          <w:rFonts w:ascii="Noto Sans" w:hAnsi="Noto Sans" w:cs="Noto Sans"/>
          <w:b/>
          <w:sz w:val="20"/>
          <w:szCs w:val="20"/>
        </w:rPr>
        <w:t>Para 24 meses:</w:t>
      </w:r>
    </w:p>
    <w:tbl>
      <w:tblPr>
        <w:tblW w:w="5369" w:type="pct"/>
        <w:tblInd w:w="-214" w:type="dxa"/>
        <w:tblLayout w:type="fixed"/>
        <w:tblCellMar>
          <w:left w:w="70" w:type="dxa"/>
          <w:right w:w="70" w:type="dxa"/>
        </w:tblCellMar>
        <w:tblLook w:val="04A0" w:firstRow="1" w:lastRow="0" w:firstColumn="1" w:lastColumn="0" w:noHBand="0" w:noVBand="1"/>
      </w:tblPr>
      <w:tblGrid>
        <w:gridCol w:w="901"/>
        <w:gridCol w:w="1085"/>
        <w:gridCol w:w="3043"/>
        <w:gridCol w:w="1246"/>
        <w:gridCol w:w="836"/>
        <w:gridCol w:w="557"/>
        <w:gridCol w:w="838"/>
        <w:gridCol w:w="417"/>
        <w:gridCol w:w="557"/>
      </w:tblGrid>
      <w:tr w:rsidR="007A251E" w:rsidRPr="00C01624" w14:paraId="07EAAF22" w14:textId="77777777" w:rsidTr="00427E1C">
        <w:trPr>
          <w:trHeight w:val="540"/>
          <w:tblHeader/>
        </w:trPr>
        <w:tc>
          <w:tcPr>
            <w:tcW w:w="475" w:type="pct"/>
            <w:tcBorders>
              <w:top w:val="single" w:sz="4" w:space="0" w:color="auto"/>
              <w:left w:val="single" w:sz="4" w:space="0" w:color="auto"/>
              <w:bottom w:val="single" w:sz="4" w:space="0" w:color="auto"/>
              <w:right w:val="single" w:sz="4" w:space="0" w:color="auto"/>
            </w:tcBorders>
            <w:vAlign w:val="center"/>
            <w:hideMark/>
          </w:tcPr>
          <w:p w14:paraId="194F78FD"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eastAsia="es-MX"/>
              </w:rPr>
              <w:t>Partida</w:t>
            </w:r>
          </w:p>
        </w:tc>
        <w:tc>
          <w:tcPr>
            <w:tcW w:w="572" w:type="pct"/>
            <w:tcBorders>
              <w:top w:val="single" w:sz="4" w:space="0" w:color="auto"/>
              <w:left w:val="nil"/>
              <w:bottom w:val="single" w:sz="4" w:space="0" w:color="auto"/>
              <w:right w:val="single" w:sz="4" w:space="0" w:color="auto"/>
            </w:tcBorders>
            <w:vAlign w:val="center"/>
            <w:hideMark/>
          </w:tcPr>
          <w:p w14:paraId="18E14BCB"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eastAsia="es-MX"/>
              </w:rPr>
              <w:t>Componente o servicio</w:t>
            </w:r>
          </w:p>
        </w:tc>
        <w:tc>
          <w:tcPr>
            <w:tcW w:w="1605" w:type="pct"/>
            <w:tcBorders>
              <w:top w:val="single" w:sz="4" w:space="0" w:color="auto"/>
              <w:left w:val="nil"/>
              <w:bottom w:val="single" w:sz="4" w:space="0" w:color="auto"/>
              <w:right w:val="single" w:sz="4" w:space="0" w:color="auto"/>
            </w:tcBorders>
            <w:vAlign w:val="center"/>
            <w:hideMark/>
          </w:tcPr>
          <w:p w14:paraId="162561F9"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Descripción</w:t>
            </w:r>
          </w:p>
        </w:tc>
        <w:tc>
          <w:tcPr>
            <w:tcW w:w="657" w:type="pct"/>
            <w:tcBorders>
              <w:top w:val="single" w:sz="4" w:space="0" w:color="auto"/>
              <w:left w:val="nil"/>
              <w:bottom w:val="single" w:sz="4" w:space="0" w:color="auto"/>
              <w:right w:val="single" w:sz="4" w:space="0" w:color="auto"/>
            </w:tcBorders>
            <w:vAlign w:val="center"/>
            <w:hideMark/>
          </w:tcPr>
          <w:p w14:paraId="332C3BEA"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Especificación</w:t>
            </w:r>
          </w:p>
        </w:tc>
        <w:tc>
          <w:tcPr>
            <w:tcW w:w="441" w:type="pct"/>
            <w:tcBorders>
              <w:top w:val="single" w:sz="4" w:space="0" w:color="auto"/>
              <w:left w:val="nil"/>
              <w:bottom w:val="single" w:sz="4" w:space="0" w:color="auto"/>
              <w:right w:val="single" w:sz="4" w:space="0" w:color="auto"/>
            </w:tcBorders>
            <w:vAlign w:val="center"/>
            <w:hideMark/>
          </w:tcPr>
          <w:p w14:paraId="43034B29"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Tipo</w:t>
            </w:r>
          </w:p>
        </w:tc>
        <w:tc>
          <w:tcPr>
            <w:tcW w:w="294" w:type="pct"/>
            <w:tcBorders>
              <w:top w:val="single" w:sz="4" w:space="0" w:color="auto"/>
              <w:left w:val="nil"/>
              <w:bottom w:val="single" w:sz="4" w:space="0" w:color="auto"/>
              <w:right w:val="single" w:sz="4" w:space="0" w:color="auto"/>
            </w:tcBorders>
            <w:vAlign w:val="center"/>
            <w:hideMark/>
          </w:tcPr>
          <w:p w14:paraId="706744D9"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P/U</w:t>
            </w:r>
          </w:p>
        </w:tc>
        <w:tc>
          <w:tcPr>
            <w:tcW w:w="442" w:type="pct"/>
            <w:tcBorders>
              <w:top w:val="single" w:sz="4" w:space="0" w:color="auto"/>
              <w:left w:val="nil"/>
              <w:bottom w:val="single" w:sz="4" w:space="0" w:color="auto"/>
              <w:right w:val="single" w:sz="4" w:space="0" w:color="auto"/>
            </w:tcBorders>
            <w:vAlign w:val="center"/>
            <w:hideMark/>
          </w:tcPr>
          <w:p w14:paraId="44C93AAF"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Subtotal</w:t>
            </w:r>
          </w:p>
        </w:tc>
        <w:tc>
          <w:tcPr>
            <w:tcW w:w="220" w:type="pct"/>
            <w:tcBorders>
              <w:top w:val="single" w:sz="4" w:space="0" w:color="auto"/>
              <w:left w:val="nil"/>
              <w:bottom w:val="single" w:sz="4" w:space="0" w:color="auto"/>
              <w:right w:val="single" w:sz="4" w:space="0" w:color="auto"/>
            </w:tcBorders>
            <w:vAlign w:val="center"/>
            <w:hideMark/>
          </w:tcPr>
          <w:p w14:paraId="76DD1D2B"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IVA</w:t>
            </w:r>
          </w:p>
        </w:tc>
        <w:tc>
          <w:tcPr>
            <w:tcW w:w="294" w:type="pct"/>
            <w:tcBorders>
              <w:top w:val="single" w:sz="4" w:space="0" w:color="auto"/>
              <w:left w:val="nil"/>
              <w:bottom w:val="single" w:sz="4" w:space="0" w:color="auto"/>
              <w:right w:val="single" w:sz="4" w:space="0" w:color="auto"/>
            </w:tcBorders>
            <w:vAlign w:val="center"/>
            <w:hideMark/>
          </w:tcPr>
          <w:p w14:paraId="1BB4F368"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Total</w:t>
            </w:r>
          </w:p>
        </w:tc>
      </w:tr>
      <w:tr w:rsidR="007A251E" w:rsidRPr="00C01624" w14:paraId="3BDC092D" w14:textId="77777777" w:rsidTr="00427E1C">
        <w:trPr>
          <w:trHeight w:val="1620"/>
        </w:trPr>
        <w:tc>
          <w:tcPr>
            <w:tcW w:w="475" w:type="pct"/>
            <w:vMerge w:val="restart"/>
            <w:tcBorders>
              <w:top w:val="nil"/>
              <w:left w:val="single" w:sz="4" w:space="0" w:color="auto"/>
              <w:bottom w:val="single" w:sz="4" w:space="0" w:color="auto"/>
              <w:right w:val="single" w:sz="4" w:space="0" w:color="auto"/>
            </w:tcBorders>
            <w:vAlign w:val="center"/>
            <w:hideMark/>
          </w:tcPr>
          <w:p w14:paraId="514D505E" w14:textId="77777777" w:rsidR="007A251E" w:rsidRPr="00C01624" w:rsidRDefault="007A251E" w:rsidP="00427E1C">
            <w:pPr>
              <w:jc w:val="center"/>
              <w:rPr>
                <w:rFonts w:ascii="Noto Sans" w:eastAsia="Times New Roman" w:hAnsi="Noto Sans" w:cs="Noto Sans"/>
                <w:color w:val="000000"/>
                <w:sz w:val="16"/>
                <w:szCs w:val="16"/>
                <w:lang w:val="es-MX" w:eastAsia="es-MX"/>
              </w:rPr>
            </w:pPr>
            <w:r w:rsidRPr="00C01624">
              <w:rPr>
                <w:rFonts w:ascii="Noto Sans" w:eastAsia="Times New Roman" w:hAnsi="Noto Sans" w:cs="Noto Sans"/>
                <w:iCs/>
                <w:color w:val="000000"/>
                <w:sz w:val="16"/>
                <w:szCs w:val="16"/>
                <w:lang w:eastAsia="es-MX"/>
              </w:rPr>
              <w:t>1</w:t>
            </w:r>
          </w:p>
        </w:tc>
        <w:tc>
          <w:tcPr>
            <w:tcW w:w="572" w:type="pct"/>
            <w:tcBorders>
              <w:top w:val="nil"/>
              <w:left w:val="nil"/>
              <w:bottom w:val="single" w:sz="4" w:space="0" w:color="auto"/>
              <w:right w:val="single" w:sz="4" w:space="0" w:color="auto"/>
            </w:tcBorders>
            <w:vAlign w:val="center"/>
            <w:hideMark/>
          </w:tcPr>
          <w:p w14:paraId="1E10F5A6"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Paquete Science Direct Colecciones</w:t>
            </w:r>
          </w:p>
        </w:tc>
        <w:tc>
          <w:tcPr>
            <w:tcW w:w="1605" w:type="pct"/>
            <w:tcBorders>
              <w:top w:val="nil"/>
              <w:left w:val="nil"/>
              <w:bottom w:val="single" w:sz="4" w:space="0" w:color="auto"/>
              <w:right w:val="single" w:sz="4" w:space="0" w:color="auto"/>
            </w:tcBorders>
            <w:vAlign w:val="center"/>
            <w:hideMark/>
          </w:tcPr>
          <w:p w14:paraId="0BACB06F"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Revistas científicas y libros electrónicos: Plataforma más importante a nivel mundial de literatura revisada por pares. Science Direct combina publicaciones científicas, técnicas y de ciencias de la salud a texto completo con una funcionalidad inteligente e intuitiva para que los usuarios puedan mantenerse informados en sus campos y puedan trabajar de forma más eficaz y eficiente.</w:t>
            </w:r>
          </w:p>
        </w:tc>
        <w:tc>
          <w:tcPr>
            <w:tcW w:w="657" w:type="pct"/>
            <w:tcBorders>
              <w:top w:val="nil"/>
              <w:left w:val="nil"/>
              <w:bottom w:val="single" w:sz="4" w:space="0" w:color="auto"/>
              <w:right w:val="single" w:sz="4" w:space="0" w:color="auto"/>
            </w:tcBorders>
            <w:vAlign w:val="center"/>
            <w:hideMark/>
          </w:tcPr>
          <w:p w14:paraId="7AF93E9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46E3A78F"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269FFE7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62F26CE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0947D66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3F9A92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20B2FAAD" w14:textId="77777777" w:rsidTr="00427E1C">
        <w:trPr>
          <w:trHeight w:val="2700"/>
        </w:trPr>
        <w:tc>
          <w:tcPr>
            <w:tcW w:w="475" w:type="pct"/>
            <w:vMerge/>
            <w:tcBorders>
              <w:top w:val="nil"/>
              <w:left w:val="single" w:sz="4" w:space="0" w:color="auto"/>
              <w:bottom w:val="single" w:sz="4" w:space="0" w:color="auto"/>
              <w:right w:val="single" w:sz="4" w:space="0" w:color="auto"/>
            </w:tcBorders>
            <w:vAlign w:val="center"/>
            <w:hideMark/>
          </w:tcPr>
          <w:p w14:paraId="0358D76C" w14:textId="77777777" w:rsidR="007A251E" w:rsidRPr="00C01624" w:rsidRDefault="007A251E" w:rsidP="00427E1C">
            <w:pPr>
              <w:rPr>
                <w:rFonts w:ascii="Noto Sans" w:eastAsia="Times New Roman" w:hAnsi="Noto Sans" w:cs="Noto San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24CF61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Clinical Key (Colecciones)</w:t>
            </w:r>
          </w:p>
        </w:tc>
        <w:tc>
          <w:tcPr>
            <w:tcW w:w="1605" w:type="pct"/>
            <w:tcBorders>
              <w:top w:val="nil"/>
              <w:left w:val="nil"/>
              <w:bottom w:val="single" w:sz="4" w:space="0" w:color="auto"/>
              <w:right w:val="single" w:sz="4" w:space="0" w:color="auto"/>
            </w:tcBorders>
            <w:vAlign w:val="center"/>
            <w:hideMark/>
          </w:tcPr>
          <w:p w14:paraId="5D88CDFB"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Base de datos: Permite el acceso a información clínica, tanto para un conocimiento en profundidad como para obtener respuestas rápidas. Integra las referencias a las fuentes completas, con contenidos multidisciplinares a texto completo de revista medico científicas, libros de especialidades, guías clínicas o resúmenes, o con los contenidos necesarios en el Punto de Cuidado. Reduce el tiempo de respuesta, lo que permite que los profesionales clínicos encuentren, sinteticen y apliquen rápidamente la información que necesitan en el momento adecuado, como apoyo a una atención sanitaria basada en la evidencia y un aprendizaje permanente.</w:t>
            </w:r>
          </w:p>
        </w:tc>
        <w:tc>
          <w:tcPr>
            <w:tcW w:w="657" w:type="pct"/>
            <w:tcBorders>
              <w:top w:val="nil"/>
              <w:left w:val="nil"/>
              <w:bottom w:val="single" w:sz="4" w:space="0" w:color="auto"/>
              <w:right w:val="single" w:sz="4" w:space="0" w:color="auto"/>
            </w:tcBorders>
            <w:vAlign w:val="center"/>
            <w:hideMark/>
          </w:tcPr>
          <w:p w14:paraId="6452EDE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5C7E827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7C6052F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165AD27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35494D9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832675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5915F8BA"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0D478DAD" w14:textId="77777777" w:rsidR="007A251E" w:rsidRPr="00C01624" w:rsidRDefault="007A251E" w:rsidP="00427E1C">
            <w:pPr>
              <w:rPr>
                <w:rFonts w:ascii="Noto Sans" w:eastAsia="Times New Roman" w:hAnsi="Noto Sans" w:cs="Noto San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D12DCA0"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Science Direct Revistas científicas Lancet</w:t>
            </w:r>
          </w:p>
        </w:tc>
        <w:tc>
          <w:tcPr>
            <w:tcW w:w="1605" w:type="pct"/>
            <w:tcBorders>
              <w:top w:val="nil"/>
              <w:left w:val="nil"/>
              <w:bottom w:val="single" w:sz="4" w:space="0" w:color="auto"/>
              <w:right w:val="single" w:sz="4" w:space="0" w:color="auto"/>
            </w:tcBorders>
            <w:vAlign w:val="center"/>
            <w:hideMark/>
          </w:tcPr>
          <w:p w14:paraId="27A69123"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Revistas científicas:Alcance y contenido. The Lancet publica investigaciones originales, revisiones, comentarios, editoriales y perspectivas sobre una amplia gama de temas médicos.Se centra en estudios clínicos de alta calidad, ensayos controlados aleatorios, revisiones sistemáticas y metaanálisis.Aborda también temas de salud global, políticas sanitarias y cuestiones éticas en la medicina.Tipos de publicaciones: artículos originales, revisiones y series, comentarios y correspondencia, editoriales.</w:t>
            </w:r>
          </w:p>
        </w:tc>
        <w:tc>
          <w:tcPr>
            <w:tcW w:w="657" w:type="pct"/>
            <w:tcBorders>
              <w:top w:val="nil"/>
              <w:left w:val="nil"/>
              <w:bottom w:val="single" w:sz="4" w:space="0" w:color="auto"/>
              <w:right w:val="single" w:sz="4" w:space="0" w:color="auto"/>
            </w:tcBorders>
            <w:vAlign w:val="center"/>
            <w:hideMark/>
          </w:tcPr>
          <w:p w14:paraId="3C1AA93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65DB1B2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21AD24B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0A659AB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76EDB82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18BE56D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4CE6F7D1" w14:textId="77777777" w:rsidTr="00427E1C">
        <w:trPr>
          <w:trHeight w:val="2160"/>
        </w:trPr>
        <w:tc>
          <w:tcPr>
            <w:tcW w:w="475" w:type="pct"/>
            <w:tcBorders>
              <w:top w:val="nil"/>
              <w:left w:val="single" w:sz="4" w:space="0" w:color="auto"/>
              <w:bottom w:val="single" w:sz="4" w:space="0" w:color="auto"/>
              <w:right w:val="single" w:sz="4" w:space="0" w:color="auto"/>
            </w:tcBorders>
            <w:vAlign w:val="center"/>
            <w:hideMark/>
          </w:tcPr>
          <w:p w14:paraId="3AF3DF1F" w14:textId="77777777" w:rsidR="007A251E" w:rsidRPr="00C01624" w:rsidRDefault="007A251E" w:rsidP="00427E1C">
            <w:pPr>
              <w:jc w:val="center"/>
              <w:rPr>
                <w:rFonts w:ascii="Noto Sans" w:eastAsia="Times New Roman" w:hAnsi="Noto Sans" w:cs="Noto Sans"/>
                <w:color w:val="000000"/>
                <w:sz w:val="16"/>
                <w:szCs w:val="16"/>
                <w:lang w:val="es-MX" w:eastAsia="es-MX"/>
              </w:rPr>
            </w:pPr>
            <w:bookmarkStart w:id="0" w:name="_GoBack"/>
            <w:bookmarkEnd w:id="0"/>
            <w:r w:rsidRPr="00C01624">
              <w:rPr>
                <w:rFonts w:ascii="Noto Sans" w:eastAsia="Times New Roman" w:hAnsi="Noto Sans" w:cs="Noto Sans"/>
                <w:color w:val="000000"/>
                <w:sz w:val="16"/>
                <w:szCs w:val="16"/>
                <w:lang w:val="en-US" w:eastAsia="es-MX"/>
              </w:rPr>
              <w:t>2</w:t>
            </w:r>
          </w:p>
        </w:tc>
        <w:tc>
          <w:tcPr>
            <w:tcW w:w="572" w:type="pct"/>
            <w:tcBorders>
              <w:top w:val="nil"/>
              <w:left w:val="nil"/>
              <w:bottom w:val="single" w:sz="4" w:space="0" w:color="auto"/>
              <w:right w:val="single" w:sz="4" w:space="0" w:color="auto"/>
            </w:tcBorders>
            <w:vAlign w:val="center"/>
            <w:hideMark/>
          </w:tcPr>
          <w:p w14:paraId="38C38327" w14:textId="77777777" w:rsidR="007A251E" w:rsidRPr="006D4C04" w:rsidRDefault="007A251E" w:rsidP="00427E1C">
            <w:pPr>
              <w:rPr>
                <w:rFonts w:ascii="Noto Sans" w:eastAsia="Times New Roman" w:hAnsi="Noto Sans" w:cs="Noto Sans"/>
                <w:i/>
                <w:iCs/>
                <w:color w:val="000000"/>
                <w:sz w:val="16"/>
                <w:szCs w:val="16"/>
                <w:lang w:val="en-US" w:eastAsia="es-MX"/>
              </w:rPr>
            </w:pPr>
            <w:r w:rsidRPr="00C01624">
              <w:rPr>
                <w:rFonts w:ascii="Noto Sans" w:eastAsia="Times New Roman" w:hAnsi="Noto Sans" w:cs="Noto Sans"/>
                <w:i/>
                <w:iCs/>
                <w:color w:val="000000"/>
                <w:sz w:val="16"/>
                <w:szCs w:val="16"/>
                <w:lang w:val="en-US" w:eastAsia="es-MX"/>
              </w:rPr>
              <w:t>The New England Journal of Medicine</w:t>
            </w:r>
          </w:p>
        </w:tc>
        <w:tc>
          <w:tcPr>
            <w:tcW w:w="1605" w:type="pct"/>
            <w:tcBorders>
              <w:top w:val="nil"/>
              <w:left w:val="nil"/>
              <w:bottom w:val="single" w:sz="4" w:space="0" w:color="auto"/>
              <w:right w:val="single" w:sz="4" w:space="0" w:color="auto"/>
            </w:tcBorders>
            <w:vAlign w:val="center"/>
            <w:hideMark/>
          </w:tcPr>
          <w:p w14:paraId="3F8B2F4F"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 Médica:Publica investigaciones originales, revisiones editoriales, perspectivas, casos clínicos y cartas al editor sobre una amplia gama de especialidades médicas, incluyendo medicina interna, oncología, cardiología, neurología, enfermedades infecciosas, entre otras. Es conocida por sus ensayos clínicos de alta calidad, estudios observacionales y metaanálisis que influyen directamente en las guías clínicas. También aborda temas de salud pública, políticas sanitarias, ética médica y avances tecnológicos en medicina.</w:t>
            </w:r>
          </w:p>
        </w:tc>
        <w:tc>
          <w:tcPr>
            <w:tcW w:w="657" w:type="pct"/>
            <w:tcBorders>
              <w:top w:val="nil"/>
              <w:left w:val="nil"/>
              <w:bottom w:val="single" w:sz="4" w:space="0" w:color="auto"/>
              <w:right w:val="single" w:sz="4" w:space="0" w:color="auto"/>
            </w:tcBorders>
            <w:vAlign w:val="center"/>
            <w:hideMark/>
          </w:tcPr>
          <w:p w14:paraId="59A2AFC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513D78F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3E55C31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7B2A27C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1B445EF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8FB548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32748E34" w14:textId="77777777" w:rsidTr="00427E1C">
        <w:trPr>
          <w:trHeight w:val="1350"/>
        </w:trPr>
        <w:tc>
          <w:tcPr>
            <w:tcW w:w="475" w:type="pct"/>
            <w:vMerge w:val="restart"/>
            <w:tcBorders>
              <w:top w:val="nil"/>
              <w:left w:val="single" w:sz="4" w:space="0" w:color="auto"/>
              <w:bottom w:val="single" w:sz="4" w:space="0" w:color="auto"/>
              <w:right w:val="single" w:sz="4" w:space="0" w:color="auto"/>
            </w:tcBorders>
            <w:vAlign w:val="center"/>
            <w:hideMark/>
          </w:tcPr>
          <w:p w14:paraId="53BDE3E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3</w:t>
            </w:r>
          </w:p>
        </w:tc>
        <w:tc>
          <w:tcPr>
            <w:tcW w:w="572" w:type="pct"/>
            <w:tcBorders>
              <w:top w:val="nil"/>
              <w:left w:val="nil"/>
              <w:bottom w:val="single" w:sz="4" w:space="0" w:color="auto"/>
              <w:right w:val="single" w:sz="4" w:space="0" w:color="auto"/>
            </w:tcBorders>
            <w:vAlign w:val="center"/>
            <w:hideMark/>
          </w:tcPr>
          <w:p w14:paraId="36DD83CA"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Dynamed</w:t>
            </w:r>
          </w:p>
        </w:tc>
        <w:tc>
          <w:tcPr>
            <w:tcW w:w="1605" w:type="pct"/>
            <w:tcBorders>
              <w:top w:val="nil"/>
              <w:left w:val="nil"/>
              <w:bottom w:val="single" w:sz="4" w:space="0" w:color="auto"/>
              <w:right w:val="single" w:sz="4" w:space="0" w:color="auto"/>
            </w:tcBorders>
            <w:vAlign w:val="center"/>
            <w:hideMark/>
          </w:tcPr>
          <w:p w14:paraId="6B15B8EB"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Herramienta de apoyo en el punto de decisión a la que acuden los médicos para obtener respuestas. El contenido está escrito por un equipo de médicos y especialistas de clase mundial que sintetizan la evidencia, brindan un análisis objetivo y proveen orientación con detalles transparentes para ayudar en el proceso de toma de decisiones clínicas.</w:t>
            </w:r>
          </w:p>
        </w:tc>
        <w:tc>
          <w:tcPr>
            <w:tcW w:w="657" w:type="pct"/>
            <w:tcBorders>
              <w:top w:val="nil"/>
              <w:left w:val="nil"/>
              <w:bottom w:val="single" w:sz="4" w:space="0" w:color="auto"/>
              <w:right w:val="single" w:sz="4" w:space="0" w:color="auto"/>
            </w:tcBorders>
            <w:vAlign w:val="center"/>
            <w:hideMark/>
          </w:tcPr>
          <w:p w14:paraId="3B63F5B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4D698D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37B259C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502A1F4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7AFF8CCF"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38C9D81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764FC026" w14:textId="77777777" w:rsidTr="00427E1C">
        <w:trPr>
          <w:trHeight w:val="1080"/>
        </w:trPr>
        <w:tc>
          <w:tcPr>
            <w:tcW w:w="475" w:type="pct"/>
            <w:vMerge/>
            <w:tcBorders>
              <w:top w:val="nil"/>
              <w:left w:val="single" w:sz="4" w:space="0" w:color="auto"/>
              <w:bottom w:val="single" w:sz="4" w:space="0" w:color="auto"/>
              <w:right w:val="single" w:sz="4" w:space="0" w:color="auto"/>
            </w:tcBorders>
            <w:vAlign w:val="center"/>
            <w:hideMark/>
          </w:tcPr>
          <w:p w14:paraId="3C80272D"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1B6BAB5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Medic Latina</w:t>
            </w:r>
          </w:p>
        </w:tc>
        <w:tc>
          <w:tcPr>
            <w:tcW w:w="1605" w:type="pct"/>
            <w:tcBorders>
              <w:top w:val="nil"/>
              <w:left w:val="nil"/>
              <w:bottom w:val="single" w:sz="4" w:space="0" w:color="auto"/>
              <w:right w:val="single" w:sz="4" w:space="0" w:color="auto"/>
            </w:tcBorders>
            <w:vAlign w:val="center"/>
            <w:hideMark/>
          </w:tcPr>
          <w:p w14:paraId="0C99C33D"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Colección de investigaciones médicas y revistas científicas de reconocidas editoriales latinoamericanas y españolas, contiene una tabla completa de contenido y texto completo en PDF para revistas médicas revisadas por pares en español: 135 revistas activas de texto completo.</w:t>
            </w:r>
          </w:p>
        </w:tc>
        <w:tc>
          <w:tcPr>
            <w:tcW w:w="657" w:type="pct"/>
            <w:tcBorders>
              <w:top w:val="nil"/>
              <w:left w:val="nil"/>
              <w:bottom w:val="single" w:sz="4" w:space="0" w:color="auto"/>
              <w:right w:val="single" w:sz="4" w:space="0" w:color="auto"/>
            </w:tcBorders>
            <w:vAlign w:val="center"/>
            <w:hideMark/>
          </w:tcPr>
          <w:p w14:paraId="01E3B45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1789EB1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210B718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4F0FE33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F8BDF1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3FB2F3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259DB0EF" w14:textId="77777777" w:rsidTr="00427E1C">
        <w:trPr>
          <w:trHeight w:val="1350"/>
        </w:trPr>
        <w:tc>
          <w:tcPr>
            <w:tcW w:w="475" w:type="pct"/>
            <w:vMerge/>
            <w:tcBorders>
              <w:top w:val="nil"/>
              <w:left w:val="single" w:sz="4" w:space="0" w:color="auto"/>
              <w:bottom w:val="single" w:sz="4" w:space="0" w:color="auto"/>
              <w:right w:val="single" w:sz="4" w:space="0" w:color="auto"/>
            </w:tcBorders>
            <w:vAlign w:val="center"/>
            <w:hideMark/>
          </w:tcPr>
          <w:p w14:paraId="6C8B6A36"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3B7695ED"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Medline Ultimate</w:t>
            </w:r>
          </w:p>
        </w:tc>
        <w:tc>
          <w:tcPr>
            <w:tcW w:w="1605" w:type="pct"/>
            <w:tcBorders>
              <w:top w:val="nil"/>
              <w:left w:val="nil"/>
              <w:bottom w:val="single" w:sz="4" w:space="0" w:color="auto"/>
              <w:right w:val="single" w:sz="4" w:space="0" w:color="auto"/>
            </w:tcBorders>
            <w:vAlign w:val="center"/>
            <w:hideMark/>
          </w:tcPr>
          <w:p w14:paraId="4F6265C3"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Base de datos de texto completo proporciona acceso a revistas biomédicas y de salud de primer nivel. Abarca una amplia gama de temas, es un recurso esencial para los médicos, enfermeras, profesionales de la salud y los investigadores dedicados a la atención clínica, la salud pública y el desarrollo de políticas de salud. </w:t>
            </w:r>
          </w:p>
        </w:tc>
        <w:tc>
          <w:tcPr>
            <w:tcW w:w="657" w:type="pct"/>
            <w:tcBorders>
              <w:top w:val="nil"/>
              <w:left w:val="nil"/>
              <w:bottom w:val="single" w:sz="4" w:space="0" w:color="auto"/>
              <w:right w:val="single" w:sz="4" w:space="0" w:color="auto"/>
            </w:tcBorders>
            <w:vAlign w:val="center"/>
            <w:hideMark/>
          </w:tcPr>
          <w:p w14:paraId="0CE6BA5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A866C0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61EBF22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3B5D4A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61ABE8A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1B0839C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37456F7A" w14:textId="77777777" w:rsidTr="00427E1C">
        <w:trPr>
          <w:trHeight w:val="3510"/>
        </w:trPr>
        <w:tc>
          <w:tcPr>
            <w:tcW w:w="475" w:type="pct"/>
            <w:vMerge/>
            <w:tcBorders>
              <w:top w:val="nil"/>
              <w:left w:val="single" w:sz="4" w:space="0" w:color="auto"/>
              <w:bottom w:val="single" w:sz="4" w:space="0" w:color="auto"/>
              <w:right w:val="single" w:sz="4" w:space="0" w:color="auto"/>
            </w:tcBorders>
            <w:vAlign w:val="center"/>
            <w:hideMark/>
          </w:tcPr>
          <w:p w14:paraId="2D997D4B"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7468701F"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VIDAL Vademécum</w:t>
            </w:r>
          </w:p>
        </w:tc>
        <w:tc>
          <w:tcPr>
            <w:tcW w:w="1605" w:type="pct"/>
            <w:tcBorders>
              <w:top w:val="nil"/>
              <w:left w:val="nil"/>
              <w:bottom w:val="single" w:sz="4" w:space="0" w:color="auto"/>
              <w:right w:val="single" w:sz="4" w:space="0" w:color="auto"/>
            </w:tcBorders>
            <w:vAlign w:val="center"/>
            <w:hideMark/>
          </w:tcPr>
          <w:p w14:paraId="65A25935"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Base de datos web más completa que cubre una amplia gama de información de referencia de medicamentos de América Latina en español. ViDAL Consult impulsa a cientos de miles de profesionales de la salud en América Latina, Europa y África a tomar decisiones confiables y se actualiza constantemente con la información más reciente sobre medicamentos. Con ViDAL Consult, los médicos pueden acceder rápidamente a las propiedades clínicas de un fármaco, así como a la información de riesgo relacionada con los pacientes, ayudándoles a tomar la mejor decisión al prescribir. Los usuarios también pueden identificar las equivalencias extranjeras de un producto de una lista de casi 250.000 medicamentos referenciados en 39 países de los 5 continentes. Por el contrario, también pueden encontrar los equivalentes locales de un medicamento recetado en otro país.</w:t>
            </w:r>
          </w:p>
        </w:tc>
        <w:tc>
          <w:tcPr>
            <w:tcW w:w="657" w:type="pct"/>
            <w:tcBorders>
              <w:top w:val="nil"/>
              <w:left w:val="nil"/>
              <w:bottom w:val="single" w:sz="4" w:space="0" w:color="auto"/>
              <w:right w:val="single" w:sz="4" w:space="0" w:color="auto"/>
            </w:tcBorders>
            <w:vAlign w:val="center"/>
            <w:hideMark/>
          </w:tcPr>
          <w:p w14:paraId="2045418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1BEF10B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3D60F2F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4B55568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3E460D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0B64DB8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77D8B3A3"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7DD27B13"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EC88D5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Ebsco Discovery Index</w:t>
            </w:r>
          </w:p>
        </w:tc>
        <w:tc>
          <w:tcPr>
            <w:tcW w:w="1605" w:type="pct"/>
            <w:tcBorders>
              <w:top w:val="nil"/>
              <w:left w:val="nil"/>
              <w:bottom w:val="single" w:sz="4" w:space="0" w:color="auto"/>
              <w:right w:val="single" w:sz="4" w:space="0" w:color="auto"/>
            </w:tcBorders>
            <w:vAlign w:val="center"/>
            <w:hideMark/>
          </w:tcPr>
          <w:p w14:paraId="3EE37C81"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EBSCO Discovery crea un índice unificado de recursos de información que permite el descubrimiento bibliográfico a través de una simple pero poderosa caja de búsqueda. Esta habilidad de crear una solución personalizada se logra mediante la recopilación de metadatos tanto de fuentes externas como paquetes de editores, bases de datos (agregadores), iniciativas o fuentes de acceso abierto, etc. y fuentes internas como repositorios institucionales, catálogos, etc. para crear un índice de tamaño y velocidad sin precedentes. </w:t>
            </w:r>
          </w:p>
        </w:tc>
        <w:tc>
          <w:tcPr>
            <w:tcW w:w="657" w:type="pct"/>
            <w:tcBorders>
              <w:top w:val="nil"/>
              <w:left w:val="nil"/>
              <w:bottom w:val="single" w:sz="4" w:space="0" w:color="auto"/>
              <w:right w:val="single" w:sz="4" w:space="0" w:color="auto"/>
            </w:tcBorders>
            <w:vAlign w:val="center"/>
            <w:hideMark/>
          </w:tcPr>
          <w:p w14:paraId="382C2D4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11D2543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4CF57DC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00E6ECD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3618109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441B56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7B73E658" w14:textId="77777777" w:rsidTr="00427E1C">
        <w:trPr>
          <w:trHeight w:val="70"/>
        </w:trPr>
        <w:tc>
          <w:tcPr>
            <w:tcW w:w="475" w:type="pct"/>
            <w:vMerge/>
            <w:tcBorders>
              <w:top w:val="nil"/>
              <w:left w:val="single" w:sz="4" w:space="0" w:color="auto"/>
              <w:bottom w:val="single" w:sz="4" w:space="0" w:color="auto"/>
              <w:right w:val="single" w:sz="4" w:space="0" w:color="auto"/>
            </w:tcBorders>
            <w:vAlign w:val="center"/>
            <w:hideMark/>
          </w:tcPr>
          <w:p w14:paraId="4F706D26"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27182B3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Ebook Medical Su</w:t>
            </w:r>
            <w:r>
              <w:rPr>
                <w:rFonts w:ascii="Noto Sans" w:eastAsia="Times New Roman" w:hAnsi="Noto Sans" w:cs="Noto Sans"/>
                <w:i/>
                <w:iCs/>
                <w:color w:val="000000"/>
                <w:sz w:val="16"/>
                <w:szCs w:val="16"/>
                <w:lang w:eastAsia="es-MX"/>
              </w:rPr>
              <w:t>b</w:t>
            </w:r>
            <w:r w:rsidRPr="00C01624">
              <w:rPr>
                <w:rFonts w:ascii="Noto Sans" w:eastAsia="Times New Roman" w:hAnsi="Noto Sans" w:cs="Noto Sans"/>
                <w:i/>
                <w:iCs/>
                <w:color w:val="000000"/>
                <w:sz w:val="16"/>
                <w:szCs w:val="16"/>
                <w:lang w:eastAsia="es-MX"/>
              </w:rPr>
              <w:t>scription Collection</w:t>
            </w:r>
          </w:p>
        </w:tc>
        <w:tc>
          <w:tcPr>
            <w:tcW w:w="1605" w:type="pct"/>
            <w:tcBorders>
              <w:top w:val="nil"/>
              <w:left w:val="nil"/>
              <w:bottom w:val="single" w:sz="4" w:space="0" w:color="auto"/>
              <w:right w:val="single" w:sz="4" w:space="0" w:color="auto"/>
            </w:tcBorders>
            <w:vAlign w:val="center"/>
            <w:hideMark/>
          </w:tcPr>
          <w:p w14:paraId="653F943B"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Colección de suscripción que contiene más de 4,300 títulos de calidad que se centran en las especialidades médicas, enfermería, salud aliada y áreas de medicina general. Los usuarios tienen acceso a la información más actual; todos los títulos de la colección son del 2008 y hacia adelante (con una mayoría significativa de los títulos de 2010 y posterior), y los títulos más nuevos reemplazan el contenido más antiguo, estas actualizaciones se realizan para que los usuarios siempre tengan acceso a la información más reciente.  </w:t>
            </w:r>
          </w:p>
        </w:tc>
        <w:tc>
          <w:tcPr>
            <w:tcW w:w="657" w:type="pct"/>
            <w:tcBorders>
              <w:top w:val="nil"/>
              <w:left w:val="nil"/>
              <w:bottom w:val="single" w:sz="4" w:space="0" w:color="auto"/>
              <w:right w:val="single" w:sz="4" w:space="0" w:color="auto"/>
            </w:tcBorders>
            <w:vAlign w:val="center"/>
            <w:hideMark/>
          </w:tcPr>
          <w:p w14:paraId="532689C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8816CA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6832A4E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79EC0D8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6FCFB9F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0F1D8B4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18D4E6C9" w14:textId="77777777" w:rsidTr="00427E1C">
        <w:trPr>
          <w:trHeight w:val="1350"/>
        </w:trPr>
        <w:tc>
          <w:tcPr>
            <w:tcW w:w="475" w:type="pct"/>
            <w:vMerge/>
            <w:tcBorders>
              <w:top w:val="nil"/>
              <w:left w:val="single" w:sz="4" w:space="0" w:color="auto"/>
              <w:bottom w:val="single" w:sz="4" w:space="0" w:color="auto"/>
              <w:right w:val="single" w:sz="4" w:space="0" w:color="auto"/>
            </w:tcBorders>
            <w:vAlign w:val="center"/>
            <w:hideMark/>
          </w:tcPr>
          <w:p w14:paraId="2858C4D7"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7084442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CINAHL Ultimate</w:t>
            </w:r>
          </w:p>
        </w:tc>
        <w:tc>
          <w:tcPr>
            <w:tcW w:w="1605" w:type="pct"/>
            <w:tcBorders>
              <w:top w:val="nil"/>
              <w:left w:val="nil"/>
              <w:bottom w:val="single" w:sz="4" w:space="0" w:color="auto"/>
              <w:right w:val="single" w:sz="4" w:space="0" w:color="auto"/>
            </w:tcBorders>
            <w:vAlign w:val="center"/>
            <w:hideMark/>
          </w:tcPr>
          <w:p w14:paraId="1D3729B1"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Recurso fundamental para la investigación en enfermería y salud aliada, ya que ofrece el texto completo de más revistas del índice CINAHL que cualquier otra base de datos. Abarca más de 50 especialidades de enfermería e incluye lecciones rápidas, hojas de cuidados basados en la evidencia, modelos CEU e instrumentos de investigación.</w:t>
            </w:r>
          </w:p>
        </w:tc>
        <w:tc>
          <w:tcPr>
            <w:tcW w:w="657" w:type="pct"/>
            <w:tcBorders>
              <w:top w:val="nil"/>
              <w:left w:val="nil"/>
              <w:bottom w:val="single" w:sz="4" w:space="0" w:color="auto"/>
              <w:right w:val="single" w:sz="4" w:space="0" w:color="auto"/>
            </w:tcBorders>
            <w:vAlign w:val="center"/>
            <w:hideMark/>
          </w:tcPr>
          <w:p w14:paraId="684734A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EBBE43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592E6A3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64ACC8B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539C27E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28B3E7E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0E8491E1" w14:textId="77777777" w:rsidTr="00427E1C">
        <w:trPr>
          <w:trHeight w:val="1890"/>
        </w:trPr>
        <w:tc>
          <w:tcPr>
            <w:tcW w:w="475" w:type="pct"/>
            <w:vMerge/>
            <w:tcBorders>
              <w:top w:val="nil"/>
              <w:left w:val="single" w:sz="4" w:space="0" w:color="auto"/>
              <w:bottom w:val="single" w:sz="4" w:space="0" w:color="auto"/>
              <w:right w:val="single" w:sz="4" w:space="0" w:color="auto"/>
            </w:tcBorders>
            <w:vAlign w:val="center"/>
            <w:hideMark/>
          </w:tcPr>
          <w:p w14:paraId="3AA65A47"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1AE2248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Dynamic Health &amp; Skills</w:t>
            </w:r>
          </w:p>
        </w:tc>
        <w:tc>
          <w:tcPr>
            <w:tcW w:w="1605" w:type="pct"/>
            <w:tcBorders>
              <w:top w:val="nil"/>
              <w:left w:val="nil"/>
              <w:bottom w:val="single" w:sz="4" w:space="0" w:color="auto"/>
              <w:right w:val="single" w:sz="4" w:space="0" w:color="auto"/>
            </w:tcBorders>
            <w:vAlign w:val="center"/>
            <w:hideMark/>
          </w:tcPr>
          <w:p w14:paraId="70A0BEA9"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Dynamic Health es un recurso innovador basado en la evidencia que ayuda a las enfermeras y profesionales de la salud asociados a dominar las habilidades críticas. Los usuarios pueden encontrar información actual y procesable sobre las competencias básicas de enfermería, la atención transcultural, la capacitación de pacientes, la terapia ocupacional, la terapia del habla, la nutrición y la dietética, el trabajo social y mucho más.</w:t>
            </w:r>
          </w:p>
        </w:tc>
        <w:tc>
          <w:tcPr>
            <w:tcW w:w="657" w:type="pct"/>
            <w:tcBorders>
              <w:top w:val="nil"/>
              <w:left w:val="nil"/>
              <w:bottom w:val="single" w:sz="4" w:space="0" w:color="auto"/>
              <w:right w:val="single" w:sz="4" w:space="0" w:color="auto"/>
            </w:tcBorders>
            <w:vAlign w:val="center"/>
            <w:hideMark/>
          </w:tcPr>
          <w:p w14:paraId="61BF554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4365BD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346DBD3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7100C1B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4514886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3FC1F29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bl>
    <w:p w14:paraId="0EDD245B" w14:textId="77777777" w:rsidR="007A251E" w:rsidRDefault="007A251E" w:rsidP="007A251E">
      <w:pPr>
        <w:jc w:val="both"/>
        <w:rPr>
          <w:rFonts w:ascii="Noto Sans" w:hAnsi="Noto Sans" w:cs="Noto Sans"/>
          <w:sz w:val="20"/>
          <w:szCs w:val="20"/>
        </w:rPr>
      </w:pPr>
    </w:p>
    <w:p w14:paraId="1ABE378A" w14:textId="77777777" w:rsidR="007A251E" w:rsidRDefault="007A251E" w:rsidP="007A251E">
      <w:pPr>
        <w:ind w:hanging="284"/>
        <w:rPr>
          <w:rFonts w:ascii="Noto Sans" w:hAnsi="Noto Sans" w:cs="Noto Sans"/>
          <w:b/>
          <w:sz w:val="20"/>
          <w:szCs w:val="20"/>
        </w:rPr>
      </w:pPr>
    </w:p>
    <w:p w14:paraId="0E657078" w14:textId="77777777" w:rsidR="007A251E" w:rsidRPr="001337DC" w:rsidRDefault="007A251E" w:rsidP="007A251E">
      <w:pPr>
        <w:ind w:hanging="284"/>
        <w:rPr>
          <w:rFonts w:ascii="Noto Sans" w:hAnsi="Noto Sans" w:cs="Noto Sans"/>
          <w:b/>
          <w:sz w:val="20"/>
          <w:szCs w:val="20"/>
        </w:rPr>
      </w:pPr>
      <w:r w:rsidRPr="001337DC">
        <w:rPr>
          <w:rFonts w:ascii="Noto Sans" w:hAnsi="Noto Sans" w:cs="Noto Sans"/>
          <w:b/>
          <w:sz w:val="20"/>
          <w:szCs w:val="20"/>
        </w:rPr>
        <w:t>Para 36 meses:</w:t>
      </w:r>
    </w:p>
    <w:tbl>
      <w:tblPr>
        <w:tblW w:w="5369" w:type="pct"/>
        <w:tblInd w:w="-214" w:type="dxa"/>
        <w:tblLayout w:type="fixed"/>
        <w:tblCellMar>
          <w:left w:w="70" w:type="dxa"/>
          <w:right w:w="70" w:type="dxa"/>
        </w:tblCellMar>
        <w:tblLook w:val="04A0" w:firstRow="1" w:lastRow="0" w:firstColumn="1" w:lastColumn="0" w:noHBand="0" w:noVBand="1"/>
      </w:tblPr>
      <w:tblGrid>
        <w:gridCol w:w="901"/>
        <w:gridCol w:w="1085"/>
        <w:gridCol w:w="3043"/>
        <w:gridCol w:w="1246"/>
        <w:gridCol w:w="836"/>
        <w:gridCol w:w="557"/>
        <w:gridCol w:w="838"/>
        <w:gridCol w:w="417"/>
        <w:gridCol w:w="557"/>
      </w:tblGrid>
      <w:tr w:rsidR="007A251E" w:rsidRPr="00C01624" w14:paraId="0FE57D74" w14:textId="77777777" w:rsidTr="00427E1C">
        <w:trPr>
          <w:trHeight w:val="540"/>
          <w:tblHeader/>
        </w:trPr>
        <w:tc>
          <w:tcPr>
            <w:tcW w:w="475" w:type="pct"/>
            <w:tcBorders>
              <w:top w:val="single" w:sz="4" w:space="0" w:color="auto"/>
              <w:left w:val="single" w:sz="4" w:space="0" w:color="auto"/>
              <w:bottom w:val="single" w:sz="4" w:space="0" w:color="auto"/>
              <w:right w:val="single" w:sz="4" w:space="0" w:color="auto"/>
            </w:tcBorders>
            <w:vAlign w:val="center"/>
            <w:hideMark/>
          </w:tcPr>
          <w:p w14:paraId="64985C12"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eastAsia="es-MX"/>
              </w:rPr>
              <w:t>Partida</w:t>
            </w:r>
          </w:p>
        </w:tc>
        <w:tc>
          <w:tcPr>
            <w:tcW w:w="572" w:type="pct"/>
            <w:tcBorders>
              <w:top w:val="single" w:sz="4" w:space="0" w:color="auto"/>
              <w:left w:val="nil"/>
              <w:bottom w:val="single" w:sz="4" w:space="0" w:color="auto"/>
              <w:right w:val="single" w:sz="4" w:space="0" w:color="auto"/>
            </w:tcBorders>
            <w:vAlign w:val="center"/>
            <w:hideMark/>
          </w:tcPr>
          <w:p w14:paraId="44110C62"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eastAsia="es-MX"/>
              </w:rPr>
              <w:t>Componente o servicio</w:t>
            </w:r>
          </w:p>
        </w:tc>
        <w:tc>
          <w:tcPr>
            <w:tcW w:w="1605" w:type="pct"/>
            <w:tcBorders>
              <w:top w:val="single" w:sz="4" w:space="0" w:color="auto"/>
              <w:left w:val="nil"/>
              <w:bottom w:val="single" w:sz="4" w:space="0" w:color="auto"/>
              <w:right w:val="single" w:sz="4" w:space="0" w:color="auto"/>
            </w:tcBorders>
            <w:vAlign w:val="center"/>
            <w:hideMark/>
          </w:tcPr>
          <w:p w14:paraId="5D14F061"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Descripción</w:t>
            </w:r>
          </w:p>
        </w:tc>
        <w:tc>
          <w:tcPr>
            <w:tcW w:w="657" w:type="pct"/>
            <w:tcBorders>
              <w:top w:val="single" w:sz="4" w:space="0" w:color="auto"/>
              <w:left w:val="nil"/>
              <w:bottom w:val="single" w:sz="4" w:space="0" w:color="auto"/>
              <w:right w:val="single" w:sz="4" w:space="0" w:color="auto"/>
            </w:tcBorders>
            <w:vAlign w:val="center"/>
            <w:hideMark/>
          </w:tcPr>
          <w:p w14:paraId="07569ED8"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Especificación</w:t>
            </w:r>
          </w:p>
        </w:tc>
        <w:tc>
          <w:tcPr>
            <w:tcW w:w="441" w:type="pct"/>
            <w:tcBorders>
              <w:top w:val="single" w:sz="4" w:space="0" w:color="auto"/>
              <w:left w:val="nil"/>
              <w:bottom w:val="single" w:sz="4" w:space="0" w:color="auto"/>
              <w:right w:val="single" w:sz="4" w:space="0" w:color="auto"/>
            </w:tcBorders>
            <w:vAlign w:val="center"/>
            <w:hideMark/>
          </w:tcPr>
          <w:p w14:paraId="211883A3"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Tipo</w:t>
            </w:r>
          </w:p>
        </w:tc>
        <w:tc>
          <w:tcPr>
            <w:tcW w:w="294" w:type="pct"/>
            <w:tcBorders>
              <w:top w:val="single" w:sz="4" w:space="0" w:color="auto"/>
              <w:left w:val="nil"/>
              <w:bottom w:val="single" w:sz="4" w:space="0" w:color="auto"/>
              <w:right w:val="single" w:sz="4" w:space="0" w:color="auto"/>
            </w:tcBorders>
            <w:vAlign w:val="center"/>
            <w:hideMark/>
          </w:tcPr>
          <w:p w14:paraId="447EBC69"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P/U</w:t>
            </w:r>
          </w:p>
        </w:tc>
        <w:tc>
          <w:tcPr>
            <w:tcW w:w="442" w:type="pct"/>
            <w:tcBorders>
              <w:top w:val="single" w:sz="4" w:space="0" w:color="auto"/>
              <w:left w:val="nil"/>
              <w:bottom w:val="single" w:sz="4" w:space="0" w:color="auto"/>
              <w:right w:val="single" w:sz="4" w:space="0" w:color="auto"/>
            </w:tcBorders>
            <w:vAlign w:val="center"/>
            <w:hideMark/>
          </w:tcPr>
          <w:p w14:paraId="4D0EEAD3"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Subtotal</w:t>
            </w:r>
          </w:p>
        </w:tc>
        <w:tc>
          <w:tcPr>
            <w:tcW w:w="220" w:type="pct"/>
            <w:tcBorders>
              <w:top w:val="single" w:sz="4" w:space="0" w:color="auto"/>
              <w:left w:val="nil"/>
              <w:bottom w:val="single" w:sz="4" w:space="0" w:color="auto"/>
              <w:right w:val="single" w:sz="4" w:space="0" w:color="auto"/>
            </w:tcBorders>
            <w:vAlign w:val="center"/>
            <w:hideMark/>
          </w:tcPr>
          <w:p w14:paraId="505382F5"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IVA</w:t>
            </w:r>
          </w:p>
        </w:tc>
        <w:tc>
          <w:tcPr>
            <w:tcW w:w="294" w:type="pct"/>
            <w:tcBorders>
              <w:top w:val="single" w:sz="4" w:space="0" w:color="auto"/>
              <w:left w:val="nil"/>
              <w:bottom w:val="single" w:sz="4" w:space="0" w:color="auto"/>
              <w:right w:val="single" w:sz="4" w:space="0" w:color="auto"/>
            </w:tcBorders>
            <w:vAlign w:val="center"/>
            <w:hideMark/>
          </w:tcPr>
          <w:p w14:paraId="2ED3D6D5" w14:textId="77777777" w:rsidR="007A251E" w:rsidRPr="00C01624" w:rsidRDefault="007A251E" w:rsidP="00427E1C">
            <w:pPr>
              <w:jc w:val="center"/>
              <w:rPr>
                <w:rFonts w:ascii="Noto Sans" w:eastAsia="Times New Roman" w:hAnsi="Noto Sans" w:cs="Noto Sans"/>
                <w:b/>
                <w:bCs/>
                <w:i/>
                <w:iCs/>
                <w:color w:val="000000"/>
                <w:sz w:val="16"/>
                <w:szCs w:val="16"/>
                <w:lang w:val="es-MX" w:eastAsia="es-MX"/>
              </w:rPr>
            </w:pPr>
            <w:r w:rsidRPr="00C01624">
              <w:rPr>
                <w:rFonts w:ascii="Noto Sans" w:eastAsia="Times New Roman" w:hAnsi="Noto Sans" w:cs="Noto Sans"/>
                <w:b/>
                <w:bCs/>
                <w:i/>
                <w:iCs/>
                <w:color w:val="000000"/>
                <w:sz w:val="16"/>
                <w:szCs w:val="16"/>
                <w:lang w:val="es-MX" w:eastAsia="es-MX"/>
              </w:rPr>
              <w:t>Total</w:t>
            </w:r>
          </w:p>
        </w:tc>
      </w:tr>
      <w:tr w:rsidR="007A251E" w:rsidRPr="00C01624" w14:paraId="526BC918" w14:textId="77777777" w:rsidTr="00427E1C">
        <w:trPr>
          <w:trHeight w:val="1620"/>
        </w:trPr>
        <w:tc>
          <w:tcPr>
            <w:tcW w:w="475" w:type="pct"/>
            <w:vMerge w:val="restart"/>
            <w:tcBorders>
              <w:top w:val="nil"/>
              <w:left w:val="single" w:sz="4" w:space="0" w:color="auto"/>
              <w:bottom w:val="single" w:sz="4" w:space="0" w:color="auto"/>
              <w:right w:val="single" w:sz="4" w:space="0" w:color="auto"/>
            </w:tcBorders>
            <w:vAlign w:val="center"/>
            <w:hideMark/>
          </w:tcPr>
          <w:p w14:paraId="720A76F9" w14:textId="77777777" w:rsidR="007A251E" w:rsidRPr="00C01624" w:rsidRDefault="007A251E" w:rsidP="00427E1C">
            <w:pPr>
              <w:jc w:val="center"/>
              <w:rPr>
                <w:rFonts w:ascii="Noto Sans" w:eastAsia="Times New Roman" w:hAnsi="Noto Sans" w:cs="Noto Sans"/>
                <w:color w:val="000000"/>
                <w:sz w:val="16"/>
                <w:szCs w:val="16"/>
                <w:lang w:val="es-MX" w:eastAsia="es-MX"/>
              </w:rPr>
            </w:pPr>
            <w:r w:rsidRPr="00C01624">
              <w:rPr>
                <w:rFonts w:ascii="Noto Sans" w:eastAsia="Times New Roman" w:hAnsi="Noto Sans" w:cs="Noto Sans"/>
                <w:iCs/>
                <w:color w:val="000000"/>
                <w:sz w:val="16"/>
                <w:szCs w:val="16"/>
                <w:lang w:eastAsia="es-MX"/>
              </w:rPr>
              <w:t>1</w:t>
            </w:r>
          </w:p>
        </w:tc>
        <w:tc>
          <w:tcPr>
            <w:tcW w:w="572" w:type="pct"/>
            <w:tcBorders>
              <w:top w:val="nil"/>
              <w:left w:val="nil"/>
              <w:bottom w:val="single" w:sz="4" w:space="0" w:color="auto"/>
              <w:right w:val="single" w:sz="4" w:space="0" w:color="auto"/>
            </w:tcBorders>
            <w:vAlign w:val="center"/>
            <w:hideMark/>
          </w:tcPr>
          <w:p w14:paraId="16831244"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Paquete Science Direct Colecciones</w:t>
            </w:r>
          </w:p>
        </w:tc>
        <w:tc>
          <w:tcPr>
            <w:tcW w:w="1605" w:type="pct"/>
            <w:tcBorders>
              <w:top w:val="nil"/>
              <w:left w:val="nil"/>
              <w:bottom w:val="single" w:sz="4" w:space="0" w:color="auto"/>
              <w:right w:val="single" w:sz="4" w:space="0" w:color="auto"/>
            </w:tcBorders>
            <w:vAlign w:val="center"/>
            <w:hideMark/>
          </w:tcPr>
          <w:p w14:paraId="3D606C15"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Revistas científicas y libros electrónicos: Plataforma más importante a nivel mundial de literatura revisada por pares. Science Direct combina publicaciones científicas, técnicas y de ciencias de la salud a texto completo con una funcionalidad inteligente e intuitiva para que los usuarios puedan mantenerse informados en sus campos y puedan trabajar de forma más eficaz y eficiente.</w:t>
            </w:r>
          </w:p>
        </w:tc>
        <w:tc>
          <w:tcPr>
            <w:tcW w:w="657" w:type="pct"/>
            <w:tcBorders>
              <w:top w:val="nil"/>
              <w:left w:val="nil"/>
              <w:bottom w:val="single" w:sz="4" w:space="0" w:color="auto"/>
              <w:right w:val="single" w:sz="4" w:space="0" w:color="auto"/>
            </w:tcBorders>
            <w:vAlign w:val="center"/>
            <w:hideMark/>
          </w:tcPr>
          <w:p w14:paraId="371F300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4281700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7AB48CD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7B8B35E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6A06C4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7367065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3E216B99" w14:textId="77777777" w:rsidTr="00427E1C">
        <w:trPr>
          <w:trHeight w:val="2700"/>
        </w:trPr>
        <w:tc>
          <w:tcPr>
            <w:tcW w:w="475" w:type="pct"/>
            <w:vMerge/>
            <w:tcBorders>
              <w:top w:val="nil"/>
              <w:left w:val="single" w:sz="4" w:space="0" w:color="auto"/>
              <w:bottom w:val="single" w:sz="4" w:space="0" w:color="auto"/>
              <w:right w:val="single" w:sz="4" w:space="0" w:color="auto"/>
            </w:tcBorders>
            <w:vAlign w:val="center"/>
            <w:hideMark/>
          </w:tcPr>
          <w:p w14:paraId="0C0E7743" w14:textId="77777777" w:rsidR="007A251E" w:rsidRPr="00C01624" w:rsidRDefault="007A251E" w:rsidP="00427E1C">
            <w:pPr>
              <w:rPr>
                <w:rFonts w:ascii="Noto Sans" w:eastAsia="Times New Roman" w:hAnsi="Noto Sans" w:cs="Noto San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2201FB2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Clinical Key (Colecciones)</w:t>
            </w:r>
          </w:p>
        </w:tc>
        <w:tc>
          <w:tcPr>
            <w:tcW w:w="1605" w:type="pct"/>
            <w:tcBorders>
              <w:top w:val="nil"/>
              <w:left w:val="nil"/>
              <w:bottom w:val="single" w:sz="4" w:space="0" w:color="auto"/>
              <w:right w:val="single" w:sz="4" w:space="0" w:color="auto"/>
            </w:tcBorders>
            <w:vAlign w:val="center"/>
            <w:hideMark/>
          </w:tcPr>
          <w:p w14:paraId="410C5797"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Base de datos: Permite el acceso a información clínica, tanto para un conocimiento en profundidad como para obtener respuestas rápidas. Integra las referencias a las fuentes completas, con contenidos multidisciplinares a texto completo de revista medico científicas, libros de especialidades, guías clínicas o resúmenes, o con los contenidos necesarios en el Punto de Cuidado. Reduce el tiempo de respuesta, lo que permite que los profesionales clínicos encuentren, sinteticen y apliquen rápidamente la información que necesitan en el momento adecuado, como apoyo a una atención sanitaria basada en la evidencia y un aprendizaje permanente.</w:t>
            </w:r>
          </w:p>
        </w:tc>
        <w:tc>
          <w:tcPr>
            <w:tcW w:w="657" w:type="pct"/>
            <w:tcBorders>
              <w:top w:val="nil"/>
              <w:left w:val="nil"/>
              <w:bottom w:val="single" w:sz="4" w:space="0" w:color="auto"/>
              <w:right w:val="single" w:sz="4" w:space="0" w:color="auto"/>
            </w:tcBorders>
            <w:vAlign w:val="center"/>
            <w:hideMark/>
          </w:tcPr>
          <w:p w14:paraId="1189089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511B15F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17269CC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F58E49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5046697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3848062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0DAC690A"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2329AD77" w14:textId="77777777" w:rsidR="007A251E" w:rsidRPr="00C01624" w:rsidRDefault="007A251E" w:rsidP="00427E1C">
            <w:pPr>
              <w:rPr>
                <w:rFonts w:ascii="Noto Sans" w:eastAsia="Times New Roman" w:hAnsi="Noto Sans" w:cs="Noto San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10F082C1"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Science Direct Revistas científicas Lancet</w:t>
            </w:r>
          </w:p>
        </w:tc>
        <w:tc>
          <w:tcPr>
            <w:tcW w:w="1605" w:type="pct"/>
            <w:tcBorders>
              <w:top w:val="nil"/>
              <w:left w:val="nil"/>
              <w:bottom w:val="single" w:sz="4" w:space="0" w:color="auto"/>
              <w:right w:val="single" w:sz="4" w:space="0" w:color="auto"/>
            </w:tcBorders>
            <w:vAlign w:val="center"/>
            <w:hideMark/>
          </w:tcPr>
          <w:p w14:paraId="75D4D564" w14:textId="636B0E2A"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Revistas científicas: Alcance y contenido. The Lancet publica investigaciones originales, revisiones, comentarios, editoriales y perspectivas sobre una amplia gama de temas médicos. Se centra en estudios clínicos de alta calidad, ensayos controlados aleatorios, revisiones sistemáticas y metaanálisis. Aborda también temas de salud global, políticas sanitarias y cuestiones éticas en la medicina.</w:t>
            </w:r>
            <w:r>
              <w:rPr>
                <w:rFonts w:ascii="Noto Sans" w:eastAsia="Times New Roman" w:hAnsi="Noto Sans" w:cs="Noto Sans"/>
                <w:i/>
                <w:iCs/>
                <w:color w:val="000000"/>
                <w:sz w:val="16"/>
                <w:szCs w:val="16"/>
                <w:lang w:eastAsia="es-MX"/>
              </w:rPr>
              <w:t xml:space="preserve"> </w:t>
            </w:r>
            <w:r w:rsidRPr="007A251E">
              <w:rPr>
                <w:rFonts w:ascii="Noto Sans" w:eastAsia="Times New Roman" w:hAnsi="Noto Sans" w:cs="Noto Sans"/>
                <w:b/>
                <w:bCs/>
                <w:i/>
                <w:iCs/>
                <w:color w:val="000000"/>
                <w:sz w:val="16"/>
                <w:szCs w:val="16"/>
                <w:lang w:eastAsia="es-MX"/>
              </w:rPr>
              <w:t>Tipos</w:t>
            </w:r>
            <w:r w:rsidRPr="00C01624">
              <w:rPr>
                <w:rFonts w:ascii="Noto Sans" w:eastAsia="Times New Roman" w:hAnsi="Noto Sans" w:cs="Noto Sans"/>
                <w:i/>
                <w:iCs/>
                <w:color w:val="000000"/>
                <w:sz w:val="16"/>
                <w:szCs w:val="16"/>
                <w:lang w:eastAsia="es-MX"/>
              </w:rPr>
              <w:t xml:space="preserve"> de publicaciones: artículos originales, revisiones y series, comentarios y correspondencia, editoriales.</w:t>
            </w:r>
          </w:p>
        </w:tc>
        <w:tc>
          <w:tcPr>
            <w:tcW w:w="657" w:type="pct"/>
            <w:tcBorders>
              <w:top w:val="nil"/>
              <w:left w:val="nil"/>
              <w:bottom w:val="single" w:sz="4" w:space="0" w:color="auto"/>
              <w:right w:val="single" w:sz="4" w:space="0" w:color="auto"/>
            </w:tcBorders>
            <w:vAlign w:val="center"/>
            <w:hideMark/>
          </w:tcPr>
          <w:p w14:paraId="010B4EC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29D9B5B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201CA7F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06637699"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30C9839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3DCA1C4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58C0632C" w14:textId="77777777" w:rsidTr="00427E1C">
        <w:trPr>
          <w:trHeight w:val="2160"/>
        </w:trPr>
        <w:tc>
          <w:tcPr>
            <w:tcW w:w="475" w:type="pct"/>
            <w:tcBorders>
              <w:top w:val="nil"/>
              <w:left w:val="single" w:sz="4" w:space="0" w:color="auto"/>
              <w:bottom w:val="single" w:sz="4" w:space="0" w:color="auto"/>
              <w:right w:val="single" w:sz="4" w:space="0" w:color="auto"/>
            </w:tcBorders>
            <w:vAlign w:val="center"/>
            <w:hideMark/>
          </w:tcPr>
          <w:p w14:paraId="2A466320" w14:textId="77777777" w:rsidR="007A251E" w:rsidRPr="00C01624" w:rsidRDefault="007A251E" w:rsidP="00427E1C">
            <w:pPr>
              <w:jc w:val="center"/>
              <w:rPr>
                <w:rFonts w:ascii="Noto Sans" w:eastAsia="Times New Roman" w:hAnsi="Noto Sans" w:cs="Noto Sans"/>
                <w:color w:val="000000"/>
                <w:sz w:val="16"/>
                <w:szCs w:val="16"/>
                <w:lang w:val="es-MX" w:eastAsia="es-MX"/>
              </w:rPr>
            </w:pPr>
            <w:r w:rsidRPr="00C01624">
              <w:rPr>
                <w:rFonts w:ascii="Noto Sans" w:eastAsia="Times New Roman" w:hAnsi="Noto Sans" w:cs="Noto Sans"/>
                <w:color w:val="000000"/>
                <w:sz w:val="16"/>
                <w:szCs w:val="16"/>
                <w:lang w:val="en-US" w:eastAsia="es-MX"/>
              </w:rPr>
              <w:t>2</w:t>
            </w:r>
          </w:p>
        </w:tc>
        <w:tc>
          <w:tcPr>
            <w:tcW w:w="572" w:type="pct"/>
            <w:tcBorders>
              <w:top w:val="nil"/>
              <w:left w:val="nil"/>
              <w:bottom w:val="single" w:sz="4" w:space="0" w:color="auto"/>
              <w:right w:val="single" w:sz="4" w:space="0" w:color="auto"/>
            </w:tcBorders>
            <w:vAlign w:val="center"/>
            <w:hideMark/>
          </w:tcPr>
          <w:p w14:paraId="695588D5" w14:textId="77777777" w:rsidR="007A251E" w:rsidRPr="00C21DAC" w:rsidRDefault="007A251E" w:rsidP="00427E1C">
            <w:pPr>
              <w:rPr>
                <w:rFonts w:ascii="Noto Sans" w:eastAsia="Times New Roman" w:hAnsi="Noto Sans" w:cs="Noto Sans"/>
                <w:i/>
                <w:iCs/>
                <w:color w:val="000000"/>
                <w:sz w:val="16"/>
                <w:szCs w:val="16"/>
                <w:lang w:val="en-US" w:eastAsia="es-MX"/>
              </w:rPr>
            </w:pPr>
            <w:r w:rsidRPr="00C01624">
              <w:rPr>
                <w:rFonts w:ascii="Noto Sans" w:eastAsia="Times New Roman" w:hAnsi="Noto Sans" w:cs="Noto Sans"/>
                <w:i/>
                <w:iCs/>
                <w:color w:val="000000"/>
                <w:sz w:val="16"/>
                <w:szCs w:val="16"/>
                <w:lang w:val="en-US" w:eastAsia="es-MX"/>
              </w:rPr>
              <w:t>The New England Journal of Medicine</w:t>
            </w:r>
          </w:p>
        </w:tc>
        <w:tc>
          <w:tcPr>
            <w:tcW w:w="1605" w:type="pct"/>
            <w:tcBorders>
              <w:top w:val="nil"/>
              <w:left w:val="nil"/>
              <w:bottom w:val="single" w:sz="4" w:space="0" w:color="auto"/>
              <w:right w:val="single" w:sz="4" w:space="0" w:color="auto"/>
            </w:tcBorders>
            <w:vAlign w:val="center"/>
            <w:hideMark/>
          </w:tcPr>
          <w:p w14:paraId="116F34CA" w14:textId="1D0B5E21"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Revista Médica:</w:t>
            </w:r>
            <w:r>
              <w:rPr>
                <w:rFonts w:ascii="Noto Sans" w:eastAsia="Times New Roman" w:hAnsi="Noto Sans" w:cs="Noto Sans"/>
                <w:i/>
                <w:iCs/>
                <w:color w:val="000000"/>
                <w:sz w:val="16"/>
                <w:szCs w:val="16"/>
                <w:lang w:eastAsia="es-MX"/>
              </w:rPr>
              <w:t xml:space="preserve"> </w:t>
            </w:r>
            <w:r w:rsidRPr="00C01624">
              <w:rPr>
                <w:rFonts w:ascii="Noto Sans" w:eastAsia="Times New Roman" w:hAnsi="Noto Sans" w:cs="Noto Sans"/>
                <w:i/>
                <w:iCs/>
                <w:color w:val="000000"/>
                <w:sz w:val="16"/>
                <w:szCs w:val="16"/>
                <w:lang w:eastAsia="es-MX"/>
              </w:rPr>
              <w:t>Publica investigaciones originales, revisiones editoriales, perspectivas, casos clínicos y cartas al editor sobre una amplia gama de especialidades médicas, incluyendo medicina interna, oncología, cardiología, neurología, enfermedades infecciosas, entre otras. Es conocida por sus ensayos clínicos de alta calidad, estudios observacionales y metaanálisis que influyen directamente en las guías clínicas. También aborda temas de salud pública, políticas sanitarias, ética médica y avances tecnológicos en medicina.</w:t>
            </w:r>
          </w:p>
        </w:tc>
        <w:tc>
          <w:tcPr>
            <w:tcW w:w="657" w:type="pct"/>
            <w:tcBorders>
              <w:top w:val="nil"/>
              <w:left w:val="nil"/>
              <w:bottom w:val="single" w:sz="4" w:space="0" w:color="auto"/>
              <w:right w:val="single" w:sz="4" w:space="0" w:color="auto"/>
            </w:tcBorders>
            <w:vAlign w:val="center"/>
            <w:hideMark/>
          </w:tcPr>
          <w:p w14:paraId="7248E1F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71112CC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3AF0825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7C4798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07760B0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692CC9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7CCDE4AA" w14:textId="77777777" w:rsidTr="00427E1C">
        <w:trPr>
          <w:trHeight w:val="1350"/>
        </w:trPr>
        <w:tc>
          <w:tcPr>
            <w:tcW w:w="475" w:type="pct"/>
            <w:vMerge w:val="restart"/>
            <w:tcBorders>
              <w:top w:val="nil"/>
              <w:left w:val="single" w:sz="4" w:space="0" w:color="auto"/>
              <w:bottom w:val="single" w:sz="4" w:space="0" w:color="auto"/>
              <w:right w:val="single" w:sz="4" w:space="0" w:color="auto"/>
            </w:tcBorders>
            <w:vAlign w:val="center"/>
            <w:hideMark/>
          </w:tcPr>
          <w:p w14:paraId="67A97B6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3</w:t>
            </w:r>
          </w:p>
        </w:tc>
        <w:tc>
          <w:tcPr>
            <w:tcW w:w="572" w:type="pct"/>
            <w:tcBorders>
              <w:top w:val="nil"/>
              <w:left w:val="nil"/>
              <w:bottom w:val="single" w:sz="4" w:space="0" w:color="auto"/>
              <w:right w:val="single" w:sz="4" w:space="0" w:color="auto"/>
            </w:tcBorders>
            <w:vAlign w:val="center"/>
            <w:hideMark/>
          </w:tcPr>
          <w:p w14:paraId="6BF01840"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Dynamed</w:t>
            </w:r>
          </w:p>
        </w:tc>
        <w:tc>
          <w:tcPr>
            <w:tcW w:w="1605" w:type="pct"/>
            <w:tcBorders>
              <w:top w:val="nil"/>
              <w:left w:val="nil"/>
              <w:bottom w:val="single" w:sz="4" w:space="0" w:color="auto"/>
              <w:right w:val="single" w:sz="4" w:space="0" w:color="auto"/>
            </w:tcBorders>
            <w:vAlign w:val="center"/>
            <w:hideMark/>
          </w:tcPr>
          <w:p w14:paraId="74DF366C"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Herramienta de apoyo en el punto de decisión a la que acuden los médicos para obtener respuestas. El contenido está escrito por un equipo de médicos y especialistas de clase mundial que sintetizan la evidencia, brindan un análisis objetivo y proveen orientación con detalles transparentes para ayudar en el proceso de toma de decisiones clínicas.</w:t>
            </w:r>
          </w:p>
        </w:tc>
        <w:tc>
          <w:tcPr>
            <w:tcW w:w="657" w:type="pct"/>
            <w:tcBorders>
              <w:top w:val="nil"/>
              <w:left w:val="nil"/>
              <w:bottom w:val="single" w:sz="4" w:space="0" w:color="auto"/>
              <w:right w:val="single" w:sz="4" w:space="0" w:color="auto"/>
            </w:tcBorders>
            <w:vAlign w:val="center"/>
            <w:hideMark/>
          </w:tcPr>
          <w:p w14:paraId="3237D21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22834B6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21F10EE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7D5954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17CB903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7768714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3E1A25E5" w14:textId="77777777" w:rsidTr="00427E1C">
        <w:trPr>
          <w:trHeight w:val="1080"/>
        </w:trPr>
        <w:tc>
          <w:tcPr>
            <w:tcW w:w="475" w:type="pct"/>
            <w:vMerge/>
            <w:tcBorders>
              <w:top w:val="nil"/>
              <w:left w:val="single" w:sz="4" w:space="0" w:color="auto"/>
              <w:bottom w:val="single" w:sz="4" w:space="0" w:color="auto"/>
              <w:right w:val="single" w:sz="4" w:space="0" w:color="auto"/>
            </w:tcBorders>
            <w:vAlign w:val="center"/>
            <w:hideMark/>
          </w:tcPr>
          <w:p w14:paraId="01CA38FC"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45F8CC5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Medic Latina</w:t>
            </w:r>
          </w:p>
        </w:tc>
        <w:tc>
          <w:tcPr>
            <w:tcW w:w="1605" w:type="pct"/>
            <w:tcBorders>
              <w:top w:val="nil"/>
              <w:left w:val="nil"/>
              <w:bottom w:val="single" w:sz="4" w:space="0" w:color="auto"/>
              <w:right w:val="single" w:sz="4" w:space="0" w:color="auto"/>
            </w:tcBorders>
            <w:vAlign w:val="center"/>
            <w:hideMark/>
          </w:tcPr>
          <w:p w14:paraId="74C36F82"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Colección de investigaciones médicas y revistas científicas de reconocidas editoriales latinoamericanas y españolas, contiene una tabla completa de contenido y texto completo en PDF para revistas médicas revisadas por pares en español: 135 revistas activas de texto completo.</w:t>
            </w:r>
          </w:p>
        </w:tc>
        <w:tc>
          <w:tcPr>
            <w:tcW w:w="657" w:type="pct"/>
            <w:tcBorders>
              <w:top w:val="nil"/>
              <w:left w:val="nil"/>
              <w:bottom w:val="single" w:sz="4" w:space="0" w:color="auto"/>
              <w:right w:val="single" w:sz="4" w:space="0" w:color="auto"/>
            </w:tcBorders>
            <w:vAlign w:val="center"/>
            <w:hideMark/>
          </w:tcPr>
          <w:p w14:paraId="0899B98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C6F27B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1F536FC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5EF2CB2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369608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1CA9EDF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3CD3B89E" w14:textId="77777777" w:rsidTr="00427E1C">
        <w:trPr>
          <w:trHeight w:val="1350"/>
        </w:trPr>
        <w:tc>
          <w:tcPr>
            <w:tcW w:w="475" w:type="pct"/>
            <w:vMerge/>
            <w:tcBorders>
              <w:top w:val="nil"/>
              <w:left w:val="single" w:sz="4" w:space="0" w:color="auto"/>
              <w:bottom w:val="single" w:sz="4" w:space="0" w:color="auto"/>
              <w:right w:val="single" w:sz="4" w:space="0" w:color="auto"/>
            </w:tcBorders>
            <w:vAlign w:val="center"/>
            <w:hideMark/>
          </w:tcPr>
          <w:p w14:paraId="0C2C98E3"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25F1F603"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Medline Ultimate</w:t>
            </w:r>
          </w:p>
        </w:tc>
        <w:tc>
          <w:tcPr>
            <w:tcW w:w="1605" w:type="pct"/>
            <w:tcBorders>
              <w:top w:val="nil"/>
              <w:left w:val="nil"/>
              <w:bottom w:val="single" w:sz="4" w:space="0" w:color="auto"/>
              <w:right w:val="single" w:sz="4" w:space="0" w:color="auto"/>
            </w:tcBorders>
            <w:vAlign w:val="center"/>
            <w:hideMark/>
          </w:tcPr>
          <w:p w14:paraId="4E7797BF"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Base de datos de texto completo proporciona acceso a revistas biomédicas y de salud de primer nivel. Abarca una amplia gama de temas, es un recurso esencial para los médicos, enfermeras, profesionales de la salud y los investigadores dedicados a la atención clínica, la salud pública y el desarrollo de políticas de salud. </w:t>
            </w:r>
          </w:p>
        </w:tc>
        <w:tc>
          <w:tcPr>
            <w:tcW w:w="657" w:type="pct"/>
            <w:tcBorders>
              <w:top w:val="nil"/>
              <w:left w:val="nil"/>
              <w:bottom w:val="single" w:sz="4" w:space="0" w:color="auto"/>
              <w:right w:val="single" w:sz="4" w:space="0" w:color="auto"/>
            </w:tcBorders>
            <w:vAlign w:val="center"/>
            <w:hideMark/>
          </w:tcPr>
          <w:p w14:paraId="5D055F3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322393B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19E74E5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59B53E8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192D134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7149F1F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0775575A" w14:textId="77777777" w:rsidTr="00427E1C">
        <w:trPr>
          <w:trHeight w:val="3510"/>
        </w:trPr>
        <w:tc>
          <w:tcPr>
            <w:tcW w:w="475" w:type="pct"/>
            <w:vMerge/>
            <w:tcBorders>
              <w:top w:val="nil"/>
              <w:left w:val="single" w:sz="4" w:space="0" w:color="auto"/>
              <w:bottom w:val="single" w:sz="4" w:space="0" w:color="auto"/>
              <w:right w:val="single" w:sz="4" w:space="0" w:color="auto"/>
            </w:tcBorders>
            <w:vAlign w:val="center"/>
            <w:hideMark/>
          </w:tcPr>
          <w:p w14:paraId="215E47DD"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38F7A12F" w14:textId="77777777" w:rsidR="007A251E" w:rsidRPr="00C01624" w:rsidRDefault="007A251E" w:rsidP="00427E1C">
            <w:pP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VIDAL Vademécum</w:t>
            </w:r>
          </w:p>
        </w:tc>
        <w:tc>
          <w:tcPr>
            <w:tcW w:w="1605" w:type="pct"/>
            <w:tcBorders>
              <w:top w:val="nil"/>
              <w:left w:val="nil"/>
              <w:bottom w:val="single" w:sz="4" w:space="0" w:color="auto"/>
              <w:right w:val="single" w:sz="4" w:space="0" w:color="auto"/>
            </w:tcBorders>
            <w:vAlign w:val="center"/>
            <w:hideMark/>
          </w:tcPr>
          <w:p w14:paraId="0EEF4EE3"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Base de datos web más completa que cubre una amplia gama de información de referencia de medicamentos de América Latina en español. ViDAL Consult impulsa a cientos de miles de profesionales de la salud en América Latina, Europa y África a tomar decisiones confiables y se actualiza constantemente con la información más reciente sobre medicamentos. Con ViDAL Consult, los médicos pueden acceder rápidamente a las propiedades clínicas de un fármaco, así como a la información de riesgo relacionada con los pacientes, ayudándoles a tomar la mejor decisión al prescribir. Los usuarios también pueden identificar las equivalencias extranjeras de un producto de una lista de casi 250.000 medicamentos referenciados en 39 países de los 5 continentes. Por el contrario, también pueden encontrar los equivalentes locales de un medicamento recetado en otro país.</w:t>
            </w:r>
          </w:p>
        </w:tc>
        <w:tc>
          <w:tcPr>
            <w:tcW w:w="657" w:type="pct"/>
            <w:tcBorders>
              <w:top w:val="nil"/>
              <w:left w:val="nil"/>
              <w:bottom w:val="single" w:sz="4" w:space="0" w:color="auto"/>
              <w:right w:val="single" w:sz="4" w:space="0" w:color="auto"/>
            </w:tcBorders>
            <w:vAlign w:val="center"/>
            <w:hideMark/>
          </w:tcPr>
          <w:p w14:paraId="0DB2008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00CB1F60"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B7F61A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30D2B50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1E771BE8"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A764D0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7508961F"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3BA4DF07"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3F0CE66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Ebsco Discovery Index</w:t>
            </w:r>
          </w:p>
        </w:tc>
        <w:tc>
          <w:tcPr>
            <w:tcW w:w="1605" w:type="pct"/>
            <w:tcBorders>
              <w:top w:val="nil"/>
              <w:left w:val="nil"/>
              <w:bottom w:val="single" w:sz="4" w:space="0" w:color="auto"/>
              <w:right w:val="single" w:sz="4" w:space="0" w:color="auto"/>
            </w:tcBorders>
            <w:vAlign w:val="center"/>
            <w:hideMark/>
          </w:tcPr>
          <w:p w14:paraId="6CEF2B72"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EBSCO Discovery crea un índice unificado de recursos de información que permite el descubrimiento bibliográfico a través de una simple pero poderosa caja de búsqueda. Esta habilidad de crear una solución personalizada se logra mediante la recopilación de metadatos tanto de fuentes externas como paquetes de editores, bases de datos (agregadores), iniciativas o fuentes de acceso abierto, etc. y fuentes internas como repositorios institucionales, catálogos, etc. para crear un índice de tamaño y velocidad sin precedentes. </w:t>
            </w:r>
          </w:p>
        </w:tc>
        <w:tc>
          <w:tcPr>
            <w:tcW w:w="657" w:type="pct"/>
            <w:tcBorders>
              <w:top w:val="nil"/>
              <w:left w:val="nil"/>
              <w:bottom w:val="single" w:sz="4" w:space="0" w:color="auto"/>
              <w:right w:val="single" w:sz="4" w:space="0" w:color="auto"/>
            </w:tcBorders>
            <w:vAlign w:val="center"/>
            <w:hideMark/>
          </w:tcPr>
          <w:p w14:paraId="2E62993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179BD27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4FE67ED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589BF25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71ADBCD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313262E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65FFE10D" w14:textId="77777777" w:rsidTr="00427E1C">
        <w:trPr>
          <w:trHeight w:val="2160"/>
        </w:trPr>
        <w:tc>
          <w:tcPr>
            <w:tcW w:w="475" w:type="pct"/>
            <w:vMerge/>
            <w:tcBorders>
              <w:top w:val="nil"/>
              <w:left w:val="single" w:sz="4" w:space="0" w:color="auto"/>
              <w:bottom w:val="single" w:sz="4" w:space="0" w:color="auto"/>
              <w:right w:val="single" w:sz="4" w:space="0" w:color="auto"/>
            </w:tcBorders>
            <w:vAlign w:val="center"/>
            <w:hideMark/>
          </w:tcPr>
          <w:p w14:paraId="65742689"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33F7389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Ebook Medical Su</w:t>
            </w:r>
            <w:r>
              <w:rPr>
                <w:rFonts w:ascii="Noto Sans" w:eastAsia="Times New Roman" w:hAnsi="Noto Sans" w:cs="Noto Sans"/>
                <w:i/>
                <w:iCs/>
                <w:color w:val="000000"/>
                <w:sz w:val="16"/>
                <w:szCs w:val="16"/>
                <w:lang w:eastAsia="es-MX"/>
              </w:rPr>
              <w:t>b</w:t>
            </w:r>
            <w:r w:rsidRPr="00C01624">
              <w:rPr>
                <w:rFonts w:ascii="Noto Sans" w:eastAsia="Times New Roman" w:hAnsi="Noto Sans" w:cs="Noto Sans"/>
                <w:i/>
                <w:iCs/>
                <w:color w:val="000000"/>
                <w:sz w:val="16"/>
                <w:szCs w:val="16"/>
                <w:lang w:eastAsia="es-MX"/>
              </w:rPr>
              <w:t>scription Collection</w:t>
            </w:r>
          </w:p>
        </w:tc>
        <w:tc>
          <w:tcPr>
            <w:tcW w:w="1605" w:type="pct"/>
            <w:tcBorders>
              <w:top w:val="nil"/>
              <w:left w:val="nil"/>
              <w:bottom w:val="single" w:sz="4" w:space="0" w:color="auto"/>
              <w:right w:val="single" w:sz="4" w:space="0" w:color="auto"/>
            </w:tcBorders>
            <w:vAlign w:val="center"/>
            <w:hideMark/>
          </w:tcPr>
          <w:p w14:paraId="2E4335D3"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 xml:space="preserve">Colección de suscripción que contiene más de 4,300 títulos de calidad que se centran en las especialidades médicas, enfermería, salud aliada y áreas de medicina general. Los usuarios tienen acceso a la información más actual; todos los títulos de la colección son del 2008 y hacia adelante (con una mayoría significativa de los títulos de 2010 y posterior), y los títulos más nuevos reemplazan el contenido más antiguo, estas actualizaciones se realizan para que los usuarios siempre tengan acceso a la información más reciente.  </w:t>
            </w:r>
          </w:p>
        </w:tc>
        <w:tc>
          <w:tcPr>
            <w:tcW w:w="657" w:type="pct"/>
            <w:tcBorders>
              <w:top w:val="nil"/>
              <w:left w:val="nil"/>
              <w:bottom w:val="single" w:sz="4" w:space="0" w:color="auto"/>
              <w:right w:val="single" w:sz="4" w:space="0" w:color="auto"/>
            </w:tcBorders>
            <w:vAlign w:val="center"/>
            <w:hideMark/>
          </w:tcPr>
          <w:p w14:paraId="6374BD3C"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108CA1F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7E2EE555"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6820F53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536B812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5E4707B7"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150FFEC3" w14:textId="77777777" w:rsidTr="00427E1C">
        <w:trPr>
          <w:trHeight w:val="1350"/>
        </w:trPr>
        <w:tc>
          <w:tcPr>
            <w:tcW w:w="475" w:type="pct"/>
            <w:vMerge/>
            <w:tcBorders>
              <w:top w:val="nil"/>
              <w:left w:val="single" w:sz="4" w:space="0" w:color="auto"/>
              <w:bottom w:val="single" w:sz="4" w:space="0" w:color="auto"/>
              <w:right w:val="single" w:sz="4" w:space="0" w:color="auto"/>
            </w:tcBorders>
            <w:vAlign w:val="center"/>
            <w:hideMark/>
          </w:tcPr>
          <w:p w14:paraId="2469AD4E"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52A4D4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CINAHL Ultimate</w:t>
            </w:r>
          </w:p>
        </w:tc>
        <w:tc>
          <w:tcPr>
            <w:tcW w:w="1605" w:type="pct"/>
            <w:tcBorders>
              <w:top w:val="nil"/>
              <w:left w:val="nil"/>
              <w:bottom w:val="single" w:sz="4" w:space="0" w:color="auto"/>
              <w:right w:val="single" w:sz="4" w:space="0" w:color="auto"/>
            </w:tcBorders>
            <w:vAlign w:val="center"/>
            <w:hideMark/>
          </w:tcPr>
          <w:p w14:paraId="42E42CC8"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Recurso fundamental para la investigación en enfermería y salud aliada, ya que ofrece el texto completo de más revistas del índice CINAHL que cualquier otra base de datos. Abarca más de 50 especialidades de enfermería e incluye lecciones rápidas, hojas de cuidados basados en la evidencia, modelos CEU e instrumentos de investigación.</w:t>
            </w:r>
          </w:p>
        </w:tc>
        <w:tc>
          <w:tcPr>
            <w:tcW w:w="657" w:type="pct"/>
            <w:tcBorders>
              <w:top w:val="nil"/>
              <w:left w:val="nil"/>
              <w:bottom w:val="single" w:sz="4" w:space="0" w:color="auto"/>
              <w:right w:val="single" w:sz="4" w:space="0" w:color="auto"/>
            </w:tcBorders>
            <w:vAlign w:val="center"/>
            <w:hideMark/>
          </w:tcPr>
          <w:p w14:paraId="4696DC22"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2487D84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0A80B9B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076080FD"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1C411A8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08A3F58E"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r w:rsidR="007A251E" w:rsidRPr="00C01624" w14:paraId="492D619F" w14:textId="77777777" w:rsidTr="00427E1C">
        <w:trPr>
          <w:trHeight w:val="1890"/>
        </w:trPr>
        <w:tc>
          <w:tcPr>
            <w:tcW w:w="475" w:type="pct"/>
            <w:vMerge/>
            <w:tcBorders>
              <w:top w:val="nil"/>
              <w:left w:val="single" w:sz="4" w:space="0" w:color="auto"/>
              <w:bottom w:val="single" w:sz="4" w:space="0" w:color="auto"/>
              <w:right w:val="single" w:sz="4" w:space="0" w:color="auto"/>
            </w:tcBorders>
            <w:vAlign w:val="center"/>
            <w:hideMark/>
          </w:tcPr>
          <w:p w14:paraId="21AD3ED5" w14:textId="77777777" w:rsidR="007A251E" w:rsidRPr="00C01624" w:rsidRDefault="007A251E" w:rsidP="00427E1C">
            <w:pPr>
              <w:rPr>
                <w:rFonts w:ascii="Noto Sans" w:eastAsia="Times New Roman" w:hAnsi="Noto Sans" w:cs="Noto Sans"/>
                <w:i/>
                <w:iCs/>
                <w:color w:val="000000"/>
                <w:sz w:val="16"/>
                <w:szCs w:val="16"/>
                <w:lang w:val="es-MX" w:eastAsia="es-MX"/>
              </w:rPr>
            </w:pPr>
          </w:p>
        </w:tc>
        <w:tc>
          <w:tcPr>
            <w:tcW w:w="572" w:type="pct"/>
            <w:tcBorders>
              <w:top w:val="nil"/>
              <w:left w:val="nil"/>
              <w:bottom w:val="single" w:sz="4" w:space="0" w:color="auto"/>
              <w:right w:val="single" w:sz="4" w:space="0" w:color="auto"/>
            </w:tcBorders>
            <w:vAlign w:val="center"/>
            <w:hideMark/>
          </w:tcPr>
          <w:p w14:paraId="0E502981"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Dynamic Health &amp; Skills</w:t>
            </w:r>
          </w:p>
        </w:tc>
        <w:tc>
          <w:tcPr>
            <w:tcW w:w="1605" w:type="pct"/>
            <w:tcBorders>
              <w:top w:val="nil"/>
              <w:left w:val="nil"/>
              <w:bottom w:val="single" w:sz="4" w:space="0" w:color="auto"/>
              <w:right w:val="single" w:sz="4" w:space="0" w:color="auto"/>
            </w:tcBorders>
            <w:vAlign w:val="center"/>
            <w:hideMark/>
          </w:tcPr>
          <w:p w14:paraId="3454EF37" w14:textId="77777777" w:rsidR="007A251E" w:rsidRPr="00C01624" w:rsidRDefault="007A251E" w:rsidP="00427E1C">
            <w:pPr>
              <w:jc w:val="both"/>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eastAsia="es-MX"/>
              </w:rPr>
              <w:t>Dynamic Health es un recurso innovador basado en la evidencia que ayuda a las enfermeras y profesionales de la salud asociados a dominar las habilidades críticas. Los usuarios pueden encontrar información actual y procesable sobre las competencias básicas de enfermería, la atención transcultural, la capacitación de pacientes, la terapia ocupacional, la terapia del habla, la nutrición y la dietética, el trabajo social y mucho más.</w:t>
            </w:r>
          </w:p>
        </w:tc>
        <w:tc>
          <w:tcPr>
            <w:tcW w:w="657" w:type="pct"/>
            <w:tcBorders>
              <w:top w:val="nil"/>
              <w:left w:val="nil"/>
              <w:bottom w:val="single" w:sz="4" w:space="0" w:color="auto"/>
              <w:right w:val="single" w:sz="4" w:space="0" w:color="auto"/>
            </w:tcBorders>
            <w:vAlign w:val="center"/>
            <w:hideMark/>
          </w:tcPr>
          <w:p w14:paraId="3969D10B"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Repositorio de información</w:t>
            </w:r>
          </w:p>
        </w:tc>
        <w:tc>
          <w:tcPr>
            <w:tcW w:w="441" w:type="pct"/>
            <w:tcBorders>
              <w:top w:val="nil"/>
              <w:left w:val="nil"/>
              <w:bottom w:val="single" w:sz="4" w:space="0" w:color="auto"/>
              <w:right w:val="single" w:sz="4" w:space="0" w:color="auto"/>
            </w:tcBorders>
            <w:vAlign w:val="center"/>
            <w:hideMark/>
          </w:tcPr>
          <w:p w14:paraId="2B857873"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Formato digital</w:t>
            </w:r>
          </w:p>
        </w:tc>
        <w:tc>
          <w:tcPr>
            <w:tcW w:w="294" w:type="pct"/>
            <w:tcBorders>
              <w:top w:val="nil"/>
              <w:left w:val="nil"/>
              <w:bottom w:val="single" w:sz="4" w:space="0" w:color="auto"/>
              <w:right w:val="single" w:sz="4" w:space="0" w:color="auto"/>
            </w:tcBorders>
            <w:vAlign w:val="center"/>
            <w:hideMark/>
          </w:tcPr>
          <w:p w14:paraId="3A6AAB5F"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442" w:type="pct"/>
            <w:tcBorders>
              <w:top w:val="nil"/>
              <w:left w:val="nil"/>
              <w:bottom w:val="single" w:sz="4" w:space="0" w:color="auto"/>
              <w:right w:val="single" w:sz="4" w:space="0" w:color="auto"/>
            </w:tcBorders>
            <w:vAlign w:val="center"/>
            <w:hideMark/>
          </w:tcPr>
          <w:p w14:paraId="293D1BF4"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20" w:type="pct"/>
            <w:tcBorders>
              <w:top w:val="nil"/>
              <w:left w:val="nil"/>
              <w:bottom w:val="single" w:sz="4" w:space="0" w:color="auto"/>
              <w:right w:val="single" w:sz="4" w:space="0" w:color="auto"/>
            </w:tcBorders>
            <w:vAlign w:val="center"/>
            <w:hideMark/>
          </w:tcPr>
          <w:p w14:paraId="28661B36"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c>
          <w:tcPr>
            <w:tcW w:w="294" w:type="pct"/>
            <w:tcBorders>
              <w:top w:val="nil"/>
              <w:left w:val="nil"/>
              <w:bottom w:val="single" w:sz="4" w:space="0" w:color="auto"/>
              <w:right w:val="single" w:sz="4" w:space="0" w:color="auto"/>
            </w:tcBorders>
            <w:vAlign w:val="center"/>
            <w:hideMark/>
          </w:tcPr>
          <w:p w14:paraId="702EA99A" w14:textId="77777777" w:rsidR="007A251E" w:rsidRPr="00C01624" w:rsidRDefault="007A251E" w:rsidP="00427E1C">
            <w:pPr>
              <w:jc w:val="center"/>
              <w:rPr>
                <w:rFonts w:ascii="Noto Sans" w:eastAsia="Times New Roman" w:hAnsi="Noto Sans" w:cs="Noto Sans"/>
                <w:i/>
                <w:iCs/>
                <w:color w:val="000000"/>
                <w:sz w:val="16"/>
                <w:szCs w:val="16"/>
                <w:lang w:val="es-MX" w:eastAsia="es-MX"/>
              </w:rPr>
            </w:pPr>
            <w:r w:rsidRPr="00C01624">
              <w:rPr>
                <w:rFonts w:ascii="Noto Sans" w:eastAsia="Times New Roman" w:hAnsi="Noto Sans" w:cs="Noto Sans"/>
                <w:i/>
                <w:iCs/>
                <w:color w:val="000000"/>
                <w:sz w:val="16"/>
                <w:szCs w:val="16"/>
                <w:lang w:val="en-US" w:eastAsia="es-MX"/>
              </w:rPr>
              <w:t> </w:t>
            </w:r>
          </w:p>
        </w:tc>
      </w:tr>
    </w:tbl>
    <w:p w14:paraId="6D06E128" w14:textId="77777777" w:rsidR="007A251E" w:rsidRDefault="007A251E" w:rsidP="007A251E">
      <w:pPr>
        <w:rPr>
          <w:rFonts w:ascii="Noto Sans" w:hAnsi="Noto Sans" w:cs="Noto Sans"/>
          <w:sz w:val="20"/>
          <w:szCs w:val="20"/>
        </w:rPr>
      </w:pPr>
    </w:p>
    <w:p w14:paraId="3BF8B7EA" w14:textId="77777777" w:rsidR="007A251E" w:rsidRDefault="007A251E" w:rsidP="007A251E">
      <w:pPr>
        <w:jc w:val="both"/>
        <w:rPr>
          <w:rFonts w:ascii="Noto Sans" w:hAnsi="Noto Sans" w:cs="Noto Sans"/>
          <w:sz w:val="20"/>
          <w:szCs w:val="20"/>
        </w:rPr>
      </w:pPr>
    </w:p>
    <w:p w14:paraId="4FB45390" w14:textId="015CAA5D" w:rsidR="007A251E" w:rsidRPr="00C01624" w:rsidRDefault="007A251E" w:rsidP="007A251E">
      <w:pPr>
        <w:pStyle w:val="Prrafodelista"/>
        <w:numPr>
          <w:ilvl w:val="0"/>
          <w:numId w:val="2"/>
        </w:numPr>
        <w:ind w:right="-284"/>
        <w:contextualSpacing w:val="0"/>
        <w:jc w:val="both"/>
        <w:rPr>
          <w:rFonts w:ascii="Noto Sans" w:hAnsi="Noto Sans" w:cs="Noto Sans"/>
          <w:b/>
          <w:sz w:val="20"/>
          <w:szCs w:val="20"/>
          <w:lang w:eastAsia="ar-SA"/>
        </w:rPr>
      </w:pPr>
      <w:r w:rsidRPr="00C01624">
        <w:rPr>
          <w:rFonts w:ascii="Noto Sans" w:hAnsi="Noto Sans" w:cs="Noto Sans"/>
          <w:b/>
          <w:sz w:val="20"/>
          <w:szCs w:val="20"/>
          <w:lang w:eastAsia="ar-SA"/>
        </w:rPr>
        <w:t>Cantidad con letra, sin incluir el I.V.A.</w:t>
      </w:r>
    </w:p>
    <w:p w14:paraId="53F6A70F" w14:textId="77777777" w:rsidR="007A251E" w:rsidRPr="00C01624" w:rsidRDefault="007A251E" w:rsidP="007A251E">
      <w:pPr>
        <w:pStyle w:val="Prrafodelista"/>
        <w:numPr>
          <w:ilvl w:val="0"/>
          <w:numId w:val="2"/>
        </w:numPr>
        <w:ind w:right="-284"/>
        <w:contextualSpacing w:val="0"/>
        <w:jc w:val="both"/>
        <w:rPr>
          <w:rFonts w:ascii="Noto Sans" w:hAnsi="Noto Sans" w:cs="Noto Sans"/>
          <w:b/>
          <w:sz w:val="20"/>
          <w:szCs w:val="20"/>
          <w:lang w:eastAsia="ar-SA"/>
        </w:rPr>
      </w:pPr>
      <w:r w:rsidRPr="00C01624">
        <w:rPr>
          <w:rFonts w:ascii="Noto Sans" w:hAnsi="Noto Sans" w:cs="Noto Sans"/>
          <w:b/>
          <w:sz w:val="20"/>
          <w:szCs w:val="20"/>
          <w:lang w:eastAsia="ar-SA"/>
        </w:rPr>
        <w:t>Los precios serán fijos durante la vigencia del contrato</w:t>
      </w:r>
    </w:p>
    <w:p w14:paraId="3873CBEF" w14:textId="77777777" w:rsidR="007A251E" w:rsidRPr="00C01624" w:rsidRDefault="007A251E" w:rsidP="007A251E">
      <w:pPr>
        <w:pStyle w:val="Prrafodelista"/>
        <w:numPr>
          <w:ilvl w:val="0"/>
          <w:numId w:val="2"/>
        </w:numPr>
        <w:ind w:right="-284"/>
        <w:contextualSpacing w:val="0"/>
        <w:jc w:val="both"/>
        <w:rPr>
          <w:rFonts w:ascii="Noto Sans" w:hAnsi="Noto Sans" w:cs="Noto Sans"/>
          <w:b/>
          <w:sz w:val="20"/>
          <w:szCs w:val="20"/>
          <w:lang w:eastAsia="ar-SA"/>
        </w:rPr>
      </w:pPr>
      <w:r w:rsidRPr="00C01624">
        <w:rPr>
          <w:rFonts w:ascii="Noto Sans" w:hAnsi="Noto Sans" w:cs="Noto Sans"/>
          <w:b/>
          <w:sz w:val="20"/>
          <w:szCs w:val="20"/>
          <w:lang w:eastAsia="ar-SA"/>
        </w:rPr>
        <w:t>Se deberán considerar dos decimales no redondear, sin fórmulas.</w:t>
      </w:r>
    </w:p>
    <w:p w14:paraId="4B5DD862" w14:textId="059ABCB2" w:rsidR="00D55162" w:rsidRDefault="00EC2A48">
      <w:r>
        <w:rPr>
          <w:noProof/>
          <w:lang w:val="es-MX" w:eastAsia="es-MX"/>
        </w:rPr>
        <mc:AlternateContent>
          <mc:Choice Requires="wps">
            <w:drawing>
              <wp:anchor distT="0" distB="0" distL="114300" distR="114300" simplePos="0" relativeHeight="251659264" behindDoc="0" locked="0" layoutInCell="1" allowOverlap="1" wp14:anchorId="01A20D9A" wp14:editId="1C45997C">
                <wp:simplePos x="0" y="0"/>
                <wp:positionH relativeFrom="column">
                  <wp:posOffset>1261110</wp:posOffset>
                </wp:positionH>
                <wp:positionV relativeFrom="paragraph">
                  <wp:posOffset>8708390</wp:posOffset>
                </wp:positionV>
                <wp:extent cx="4914900" cy="247650"/>
                <wp:effectExtent l="0" t="0" r="0" b="0"/>
                <wp:wrapNone/>
                <wp:docPr id="1488154966"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4900" cy="247650"/>
                        </a:xfrm>
                        <a:prstGeom prst="rect">
                          <a:avLst/>
                        </a:prstGeom>
                        <a:noFill/>
                        <a:ln w="6350">
                          <a:noFill/>
                        </a:ln>
                      </wps:spPr>
                      <wps:txbx>
                        <w:txbxContent>
                          <w:p w14:paraId="1C212E38"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A20D9A" id="_x0000_t202" coordsize="21600,21600" o:spt="202" path="m,l,21600r21600,l21600,xe">
                <v:stroke joinstyle="miter"/>
                <v:path gradientshapeok="t" o:connecttype="rect"/>
              </v:shapetype>
              <v:shape id="Cuadro de texto 7" o:spid="_x0000_s1026" type="#_x0000_t202" style="position:absolute;margin-left:99.3pt;margin-top:685.7pt;width:387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" filled="f" stroked="f" strokeweight=".5pt">
                <v:textbox>
                  <w:txbxContent>
                    <w:p w14:paraId="1C212E38"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v:textbox>
              </v:shape>
            </w:pict>
          </mc:Fallback>
        </mc:AlternateContent>
      </w:r>
    </w:p>
    <w:p w14:paraId="2C6E172D" w14:textId="77777777" w:rsidR="00EC2A48" w:rsidRPr="00347E64" w:rsidRDefault="00EC2A48" w:rsidP="00EC2A48">
      <w:pPr>
        <w:rPr>
          <w:rFonts w:ascii="Noto Sans" w:hAnsi="Noto Sans" w:cs="Noto Sans"/>
        </w:rPr>
      </w:pPr>
    </w:p>
    <w:p w14:paraId="272B43CA" w14:textId="351DF2F4" w:rsidR="00EC2A48" w:rsidRPr="00347E64" w:rsidRDefault="00EC2A48" w:rsidP="00EC2A48">
      <w:pPr>
        <w:rPr>
          <w:rFonts w:ascii="Noto Sans" w:hAnsi="Noto Sans" w:cs="Noto Sans"/>
        </w:rPr>
      </w:pPr>
    </w:p>
    <w:p w14:paraId="0E32C11B" w14:textId="77777777" w:rsidR="00EC2A48" w:rsidRPr="00347E64" w:rsidRDefault="00EC2A48" w:rsidP="00EC2A48">
      <w:pPr>
        <w:rPr>
          <w:rFonts w:ascii="Noto Sans" w:hAnsi="Noto Sans" w:cs="Noto Sans"/>
        </w:rPr>
      </w:pPr>
    </w:p>
    <w:p w14:paraId="0D2AC82C" w14:textId="77777777" w:rsidR="00EC2A48" w:rsidRPr="00EC2A48" w:rsidRDefault="00EC2A48" w:rsidP="00EC2A48"/>
    <w:p w14:paraId="74D7ACA3" w14:textId="77777777" w:rsidR="00EC2A48" w:rsidRDefault="00EC2A48" w:rsidP="00EC2A48"/>
    <w:p w14:paraId="5441CB2C" w14:textId="77777777" w:rsidR="00EC2A48" w:rsidRPr="00347E64" w:rsidRDefault="00EC2A48" w:rsidP="00EC2A48">
      <w:pPr>
        <w:rPr>
          <w:sz w:val="22"/>
          <w:szCs w:val="22"/>
        </w:rPr>
      </w:pPr>
    </w:p>
    <w:p w14:paraId="043C184F" w14:textId="77777777" w:rsidR="00EC2A48" w:rsidRPr="00347E64" w:rsidRDefault="00EC2A48" w:rsidP="00EC2A48">
      <w:pPr>
        <w:rPr>
          <w:sz w:val="22"/>
          <w:szCs w:val="22"/>
        </w:rPr>
      </w:pPr>
    </w:p>
    <w:sectPr w:rsidR="00EC2A48" w:rsidRPr="00347E64">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DC1B9" w14:textId="77777777" w:rsidR="00FE56E3" w:rsidRDefault="00FE56E3" w:rsidP="00EC2A48">
      <w:r>
        <w:separator/>
      </w:r>
    </w:p>
  </w:endnote>
  <w:endnote w:type="continuationSeparator" w:id="0">
    <w:p w14:paraId="33DEC2FC" w14:textId="77777777" w:rsidR="00FE56E3" w:rsidRDefault="00FE56E3" w:rsidP="00EC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ptos Display">
    <w:altName w:val="Arial"/>
    <w:charset w:val="00"/>
    <w:family w:val="swiss"/>
    <w:pitch w:val="variable"/>
    <w:sig w:usb0="00000001" w:usb1="00000003" w:usb2="00000000" w:usb3="00000000" w:csb0="0000019F" w:csb1="00000000"/>
  </w:font>
  <w:font w:name="Noto Sans">
    <w:panose1 w:val="020B0502040504020204"/>
    <w:charset w:val="00"/>
    <w:family w:val="swiss"/>
    <w:pitch w:val="variable"/>
    <w:sig w:usb0="E00002FF" w:usb1="4000201F" w:usb2="08000029" w:usb3="00000000" w:csb0="0000019F" w:csb1="00000000"/>
  </w:font>
  <w:font w:name="Geomanist Medium">
    <w:altName w:val="Times New Roman"/>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59911" w14:textId="3A2CA642" w:rsidR="00EC2A48" w:rsidRDefault="00EC2A48">
    <w:pPr>
      <w:pStyle w:val="Piedepgina"/>
    </w:pPr>
    <w:r>
      <w:rPr>
        <w:noProof/>
        <w:color w:val="000000"/>
        <w:lang w:val="es-MX" w:eastAsia="es-MX"/>
      </w:rPr>
      <w:drawing>
        <wp:anchor distT="0" distB="0" distL="114300" distR="114300" simplePos="0" relativeHeight="251659776" behindDoc="1" locked="0" layoutInCell="1" allowOverlap="1" wp14:anchorId="5EE3275F" wp14:editId="4272EE49">
          <wp:simplePos x="0" y="0"/>
          <wp:positionH relativeFrom="column">
            <wp:posOffset>-1076325</wp:posOffset>
          </wp:positionH>
          <wp:positionV relativeFrom="paragraph">
            <wp:posOffset>-276225</wp:posOffset>
          </wp:positionV>
          <wp:extent cx="7791450" cy="895350"/>
          <wp:effectExtent l="0" t="0" r="0" b="0"/>
          <wp:wrapNone/>
          <wp:docPr id="1764557832"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379717"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122" t="87382" r="-363" b="3696"/>
                  <a:stretch>
                    <a:fillRect/>
                  </a:stretch>
                </pic:blipFill>
                <pic:spPr bwMode="auto">
                  <a:xfrm>
                    <a:off x="0" y="0"/>
                    <a:ext cx="7791450" cy="895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67456" behindDoc="0" locked="0" layoutInCell="1" allowOverlap="1" wp14:anchorId="60D9B455" wp14:editId="66DCA82D">
              <wp:simplePos x="0" y="0"/>
              <wp:positionH relativeFrom="column">
                <wp:posOffset>2280285</wp:posOffset>
              </wp:positionH>
              <wp:positionV relativeFrom="paragraph">
                <wp:posOffset>8879840</wp:posOffset>
              </wp:positionV>
              <wp:extent cx="4914900" cy="247650"/>
              <wp:effectExtent l="0" t="0" r="0" b="0"/>
              <wp:wrapNone/>
              <wp:docPr id="744387642"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4900" cy="247650"/>
                      </a:xfrm>
                      <a:prstGeom prst="rect">
                        <a:avLst/>
                      </a:prstGeom>
                      <a:noFill/>
                      <a:ln w="6350">
                        <a:noFill/>
                      </a:ln>
                    </wps:spPr>
                    <wps:txbx>
                      <w:txbxContent>
                        <w:p w14:paraId="45482F69"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D9B455" id="_x0000_t202" coordsize="21600,21600" o:spt="202" path="m,l,21600r21600,l21600,xe">
              <v:stroke joinstyle="miter"/>
              <v:path gradientshapeok="t" o:connecttype="rect"/>
            </v:shapetype>
            <v:shape id="Cuadro de texto 3" o:spid="_x0000_s1027" type="#_x0000_t202" style="position:absolute;margin-left:179.55pt;margin-top:699.2pt;width:387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" filled="f" stroked="f" strokeweight=".5pt">
              <v:textbox>
                <w:txbxContent>
                  <w:p w14:paraId="45482F69"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v:textbox>
            </v:shape>
          </w:pict>
        </mc:Fallback>
      </mc:AlternateContent>
    </w:r>
    <w:r>
      <w:rPr>
        <w:noProof/>
        <w:lang w:val="es-MX" w:eastAsia="es-MX"/>
      </w:rPr>
      <mc:AlternateContent>
        <mc:Choice Requires="wps">
          <w:drawing>
            <wp:anchor distT="0" distB="0" distL="114300" distR="114300" simplePos="0" relativeHeight="251665408" behindDoc="0" locked="0" layoutInCell="1" allowOverlap="1" wp14:anchorId="20D33B61" wp14:editId="2EB81DD6">
              <wp:simplePos x="0" y="0"/>
              <wp:positionH relativeFrom="column">
                <wp:posOffset>2280285</wp:posOffset>
              </wp:positionH>
              <wp:positionV relativeFrom="paragraph">
                <wp:posOffset>8879840</wp:posOffset>
              </wp:positionV>
              <wp:extent cx="4914900" cy="247650"/>
              <wp:effectExtent l="0" t="0" r="0" b="0"/>
              <wp:wrapNone/>
              <wp:docPr id="70433806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4900" cy="247650"/>
                      </a:xfrm>
                      <a:prstGeom prst="rect">
                        <a:avLst/>
                      </a:prstGeom>
                      <a:noFill/>
                      <a:ln w="6350">
                        <a:noFill/>
                      </a:ln>
                    </wps:spPr>
                    <wps:txbx>
                      <w:txbxContent>
                        <w:p w14:paraId="6F589F22"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D33B61" id="Cuadro de texto 2" o:spid="_x0000_s1028" type="#_x0000_t202" style="position:absolute;margin-left:179.55pt;margin-top:699.2pt;width:387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" filled="f" stroked="f" strokeweight=".5pt">
              <v:textbox>
                <w:txbxContent>
                  <w:p w14:paraId="6F589F22"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v:textbox>
            </v:shape>
          </w:pict>
        </mc:Fallback>
      </mc:AlternateContent>
    </w:r>
    <w:r>
      <w:rPr>
        <w:noProof/>
        <w:lang w:val="es-MX" w:eastAsia="es-MX"/>
      </w:rPr>
      <mc:AlternateContent>
        <mc:Choice Requires="wps">
          <w:drawing>
            <wp:anchor distT="0" distB="0" distL="114300" distR="114300" simplePos="0" relativeHeight="251663360" behindDoc="0" locked="0" layoutInCell="1" allowOverlap="1" wp14:anchorId="62279150" wp14:editId="1FDF9859">
              <wp:simplePos x="0" y="0"/>
              <wp:positionH relativeFrom="column">
                <wp:posOffset>2280285</wp:posOffset>
              </wp:positionH>
              <wp:positionV relativeFrom="paragraph">
                <wp:posOffset>8879840</wp:posOffset>
              </wp:positionV>
              <wp:extent cx="4914900" cy="247650"/>
              <wp:effectExtent l="0" t="0" r="0" b="0"/>
              <wp:wrapNone/>
              <wp:docPr id="189918670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4900" cy="247650"/>
                      </a:xfrm>
                      <a:prstGeom prst="rect">
                        <a:avLst/>
                      </a:prstGeom>
                      <a:noFill/>
                      <a:ln w="6350">
                        <a:noFill/>
                      </a:ln>
                    </wps:spPr>
                    <wps:txbx>
                      <w:txbxContent>
                        <w:p w14:paraId="31BA6AA0"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279150" id="Cuadro de texto 1" o:spid="_x0000_s1029" type="#_x0000_t202" style="position:absolute;margin-left:179.55pt;margin-top:699.2pt;width:387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" filled="f" stroked="f" strokeweight=".5pt">
              <v:textbox>
                <w:txbxContent>
                  <w:p w14:paraId="31BA6AA0" w14:textId="77777777" w:rsidR="00EC2A48" w:rsidRPr="005C25F3" w:rsidRDefault="00EC2A48" w:rsidP="00EC2A48">
                    <w:pPr>
                      <w:rPr>
                        <w:sz w:val="13"/>
                        <w:szCs w:val="13"/>
                      </w:rPr>
                    </w:pPr>
                    <w:r w:rsidRPr="004730AD">
                      <w:rPr>
                        <w:rFonts w:ascii="Geomanist Medium" w:hAnsi="Geomanist Medium"/>
                        <w:color w:val="4D192A"/>
                        <w:sz w:val="13"/>
                        <w:szCs w:val="13"/>
                      </w:rPr>
                      <w:t xml:space="preserve">Av. Cuauhtémoc No. 330, Col. Doctores, Alcaldía Cuauhtémoc, C.P. 06720, Ciudad de México, Tel. 55 5627 6900 Ext. </w:t>
                    </w:r>
                    <w:r>
                      <w:rPr>
                        <w:rFonts w:ascii="Geomanist Medium" w:hAnsi="Geomanist Medium"/>
                        <w:color w:val="4D192A"/>
                        <w:sz w:val="13"/>
                        <w:szCs w:val="13"/>
                      </w:rPr>
                      <w:t>21243</w:t>
                    </w:r>
                    <w:r w:rsidRPr="004730AD">
                      <w:rPr>
                        <w:rFonts w:ascii="Geomanist Medium" w:hAnsi="Geomanist Medium"/>
                        <w:color w:val="4D192A"/>
                        <w:sz w:val="13"/>
                        <w:szCs w:val="13"/>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B9E2A" w14:textId="77777777" w:rsidR="00FE56E3" w:rsidRDefault="00FE56E3" w:rsidP="00EC2A48">
      <w:r>
        <w:separator/>
      </w:r>
    </w:p>
  </w:footnote>
  <w:footnote w:type="continuationSeparator" w:id="0">
    <w:p w14:paraId="478432E0" w14:textId="77777777" w:rsidR="00FE56E3" w:rsidRDefault="00FE56E3" w:rsidP="00EC2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FB025" w14:textId="3A67C178" w:rsidR="00EC2A48" w:rsidRDefault="00EC2A48">
    <w:pPr>
      <w:pStyle w:val="Encabezado"/>
    </w:pPr>
    <w:r>
      <w:rPr>
        <w:noProof/>
        <w:color w:val="000000"/>
        <w:lang w:val="es-MX" w:eastAsia="es-MX"/>
      </w:rPr>
      <w:drawing>
        <wp:anchor distT="0" distB="0" distL="114300" distR="114300" simplePos="0" relativeHeight="251653632" behindDoc="1" locked="0" layoutInCell="1" allowOverlap="1" wp14:anchorId="3975E9AB" wp14:editId="7BA1641B">
          <wp:simplePos x="0" y="0"/>
          <wp:positionH relativeFrom="column">
            <wp:posOffset>-1080135</wp:posOffset>
          </wp:positionH>
          <wp:positionV relativeFrom="paragraph">
            <wp:posOffset>-449580</wp:posOffset>
          </wp:positionV>
          <wp:extent cx="7705725" cy="933450"/>
          <wp:effectExtent l="0" t="0" r="0" b="0"/>
          <wp:wrapNone/>
          <wp:docPr id="863379717"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379717"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859" t="3795" r="-188" b="86907"/>
                  <a:stretch>
                    <a:fillRect/>
                  </a:stretch>
                </pic:blipFill>
                <pic:spPr bwMode="auto">
                  <a:xfrm>
                    <a:off x="0" y="0"/>
                    <a:ext cx="7705725" cy="933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D43B1C"/>
    <w:multiLevelType w:val="hybridMultilevel"/>
    <w:tmpl w:val="B984AA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8B056E8"/>
    <w:multiLevelType w:val="hybridMultilevel"/>
    <w:tmpl w:val="07E64EE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A48"/>
    <w:rsid w:val="00091499"/>
    <w:rsid w:val="00196F50"/>
    <w:rsid w:val="001A6AD6"/>
    <w:rsid w:val="00252BD4"/>
    <w:rsid w:val="00347E64"/>
    <w:rsid w:val="0047465C"/>
    <w:rsid w:val="004A6ADE"/>
    <w:rsid w:val="00537565"/>
    <w:rsid w:val="00652B16"/>
    <w:rsid w:val="00765FB7"/>
    <w:rsid w:val="0079486C"/>
    <w:rsid w:val="007A251E"/>
    <w:rsid w:val="007D0069"/>
    <w:rsid w:val="007F5D8F"/>
    <w:rsid w:val="008151DF"/>
    <w:rsid w:val="00846E2B"/>
    <w:rsid w:val="008A3E36"/>
    <w:rsid w:val="00973A13"/>
    <w:rsid w:val="00B35827"/>
    <w:rsid w:val="00C30C32"/>
    <w:rsid w:val="00C317AC"/>
    <w:rsid w:val="00CC5C09"/>
    <w:rsid w:val="00D13B62"/>
    <w:rsid w:val="00D55162"/>
    <w:rsid w:val="00D84547"/>
    <w:rsid w:val="00DA3DD8"/>
    <w:rsid w:val="00E65C6B"/>
    <w:rsid w:val="00E81C3D"/>
    <w:rsid w:val="00EC2A48"/>
    <w:rsid w:val="00ED26AB"/>
    <w:rsid w:val="00FC72F7"/>
    <w:rsid w:val="00FE1D83"/>
    <w:rsid w:val="00FE56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75639"/>
  <w15:chartTrackingRefBased/>
  <w15:docId w15:val="{BCA82309-0DA9-468F-907E-420D373F6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48"/>
    <w:pPr>
      <w:spacing w:after="0" w:line="240" w:lineRule="auto"/>
    </w:pPr>
    <w:rPr>
      <w:rFonts w:ascii="Calibri" w:eastAsia="Yu Mincho" w:hAnsi="Calibri" w:cs="Times New Roman"/>
      <w:kern w:val="0"/>
      <w:sz w:val="24"/>
      <w:szCs w:val="24"/>
      <w:lang w:val="es-ES"/>
    </w:rPr>
  </w:style>
  <w:style w:type="paragraph" w:styleId="Ttulo1">
    <w:name w:val="heading 1"/>
    <w:basedOn w:val="Normal"/>
    <w:next w:val="Normal"/>
    <w:link w:val="Ttulo1Car"/>
    <w:uiPriority w:val="9"/>
    <w:qFormat/>
    <w:rsid w:val="008A3E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A3E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A3E3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A3E3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A3E3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A3E3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A3E3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A3E3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A3E3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A3E36"/>
    <w:rPr>
      <w:rFonts w:asciiTheme="majorHAnsi" w:eastAsiaTheme="majorEastAsia" w:hAnsiTheme="majorHAnsi" w:cstheme="majorBidi"/>
      <w:color w:val="0F4761" w:themeColor="accent1" w:themeShade="BF"/>
      <w:kern w:val="0"/>
      <w:sz w:val="40"/>
      <w:szCs w:val="40"/>
      <w:lang w:val="es-ES"/>
    </w:rPr>
  </w:style>
  <w:style w:type="character" w:customStyle="1" w:styleId="Ttulo2Car">
    <w:name w:val="Título 2 Car"/>
    <w:basedOn w:val="Fuentedeprrafopredeter"/>
    <w:link w:val="Ttulo2"/>
    <w:uiPriority w:val="9"/>
    <w:semiHidden/>
    <w:rsid w:val="008A3E36"/>
    <w:rPr>
      <w:rFonts w:asciiTheme="majorHAnsi" w:eastAsiaTheme="majorEastAsia" w:hAnsiTheme="majorHAnsi" w:cstheme="majorBidi"/>
      <w:color w:val="0F4761" w:themeColor="accent1" w:themeShade="BF"/>
      <w:kern w:val="0"/>
      <w:sz w:val="32"/>
      <w:szCs w:val="32"/>
      <w:lang w:val="es-ES"/>
    </w:rPr>
  </w:style>
  <w:style w:type="character" w:customStyle="1" w:styleId="Ttulo3Car">
    <w:name w:val="Título 3 Car"/>
    <w:basedOn w:val="Fuentedeprrafopredeter"/>
    <w:link w:val="Ttulo3"/>
    <w:uiPriority w:val="9"/>
    <w:semiHidden/>
    <w:rsid w:val="008A3E36"/>
    <w:rPr>
      <w:rFonts w:ascii="Calibri" w:eastAsiaTheme="majorEastAsia" w:hAnsi="Calibri" w:cstheme="majorBidi"/>
      <w:color w:val="0F4761" w:themeColor="accent1" w:themeShade="BF"/>
      <w:kern w:val="0"/>
      <w:sz w:val="28"/>
      <w:szCs w:val="28"/>
      <w:lang w:val="es-ES"/>
    </w:rPr>
  </w:style>
  <w:style w:type="character" w:customStyle="1" w:styleId="Ttulo4Car">
    <w:name w:val="Título 4 Car"/>
    <w:basedOn w:val="Fuentedeprrafopredeter"/>
    <w:link w:val="Ttulo4"/>
    <w:uiPriority w:val="9"/>
    <w:semiHidden/>
    <w:rsid w:val="008A3E36"/>
    <w:rPr>
      <w:rFonts w:ascii="Calibri" w:eastAsiaTheme="majorEastAsia" w:hAnsi="Calibri" w:cstheme="majorBidi"/>
      <w:i/>
      <w:iCs/>
      <w:color w:val="0F4761" w:themeColor="accent1" w:themeShade="BF"/>
      <w:kern w:val="0"/>
      <w:sz w:val="24"/>
      <w:szCs w:val="24"/>
      <w:lang w:val="es-ES"/>
    </w:rPr>
  </w:style>
  <w:style w:type="character" w:customStyle="1" w:styleId="Ttulo5Car">
    <w:name w:val="Título 5 Car"/>
    <w:basedOn w:val="Fuentedeprrafopredeter"/>
    <w:link w:val="Ttulo5"/>
    <w:uiPriority w:val="9"/>
    <w:semiHidden/>
    <w:rsid w:val="008A3E36"/>
    <w:rPr>
      <w:rFonts w:ascii="Calibri" w:eastAsiaTheme="majorEastAsia" w:hAnsi="Calibri" w:cstheme="majorBidi"/>
      <w:color w:val="0F4761" w:themeColor="accent1" w:themeShade="BF"/>
      <w:kern w:val="0"/>
      <w:sz w:val="24"/>
      <w:szCs w:val="24"/>
      <w:lang w:val="es-ES"/>
    </w:rPr>
  </w:style>
  <w:style w:type="character" w:customStyle="1" w:styleId="Ttulo6Car">
    <w:name w:val="Título 6 Car"/>
    <w:basedOn w:val="Fuentedeprrafopredeter"/>
    <w:link w:val="Ttulo6"/>
    <w:uiPriority w:val="9"/>
    <w:semiHidden/>
    <w:rsid w:val="008A3E36"/>
    <w:rPr>
      <w:rFonts w:ascii="Calibri" w:eastAsiaTheme="majorEastAsia" w:hAnsi="Calibri" w:cstheme="majorBidi"/>
      <w:i/>
      <w:iCs/>
      <w:color w:val="595959" w:themeColor="text1" w:themeTint="A6"/>
      <w:kern w:val="0"/>
      <w:sz w:val="24"/>
      <w:szCs w:val="24"/>
      <w:lang w:val="es-ES"/>
    </w:rPr>
  </w:style>
  <w:style w:type="character" w:customStyle="1" w:styleId="Ttulo7Car">
    <w:name w:val="Título 7 Car"/>
    <w:basedOn w:val="Fuentedeprrafopredeter"/>
    <w:link w:val="Ttulo7"/>
    <w:uiPriority w:val="9"/>
    <w:semiHidden/>
    <w:rsid w:val="008A3E36"/>
    <w:rPr>
      <w:rFonts w:ascii="Calibri" w:eastAsiaTheme="majorEastAsia" w:hAnsi="Calibri" w:cstheme="majorBidi"/>
      <w:color w:val="595959" w:themeColor="text1" w:themeTint="A6"/>
      <w:kern w:val="0"/>
      <w:sz w:val="24"/>
      <w:szCs w:val="24"/>
      <w:lang w:val="es-ES"/>
    </w:rPr>
  </w:style>
  <w:style w:type="character" w:customStyle="1" w:styleId="Ttulo8Car">
    <w:name w:val="Título 8 Car"/>
    <w:basedOn w:val="Fuentedeprrafopredeter"/>
    <w:link w:val="Ttulo8"/>
    <w:uiPriority w:val="9"/>
    <w:semiHidden/>
    <w:rsid w:val="008A3E36"/>
    <w:rPr>
      <w:rFonts w:ascii="Calibri" w:eastAsiaTheme="majorEastAsia" w:hAnsi="Calibri" w:cstheme="majorBidi"/>
      <w:i/>
      <w:iCs/>
      <w:color w:val="272727" w:themeColor="text1" w:themeTint="D8"/>
      <w:kern w:val="0"/>
      <w:sz w:val="24"/>
      <w:szCs w:val="24"/>
      <w:lang w:val="es-ES"/>
    </w:rPr>
  </w:style>
  <w:style w:type="character" w:customStyle="1" w:styleId="Ttulo9Car">
    <w:name w:val="Título 9 Car"/>
    <w:basedOn w:val="Fuentedeprrafopredeter"/>
    <w:link w:val="Ttulo9"/>
    <w:uiPriority w:val="9"/>
    <w:semiHidden/>
    <w:rsid w:val="008A3E36"/>
    <w:rPr>
      <w:rFonts w:ascii="Calibri" w:eastAsiaTheme="majorEastAsia" w:hAnsi="Calibri" w:cstheme="majorBidi"/>
      <w:color w:val="272727" w:themeColor="text1" w:themeTint="D8"/>
      <w:kern w:val="0"/>
      <w:sz w:val="24"/>
      <w:szCs w:val="24"/>
      <w:lang w:val="es-ES"/>
    </w:rPr>
  </w:style>
  <w:style w:type="paragraph" w:styleId="Puesto">
    <w:name w:val="Title"/>
    <w:basedOn w:val="Normal"/>
    <w:next w:val="Normal"/>
    <w:link w:val="PuestoCar"/>
    <w:uiPriority w:val="10"/>
    <w:qFormat/>
    <w:rsid w:val="008A3E36"/>
    <w:pPr>
      <w:spacing w:after="80"/>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A3E36"/>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8A3E3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A3E36"/>
    <w:rPr>
      <w:rFonts w:ascii="Calibri" w:eastAsiaTheme="majorEastAsia" w:hAnsi="Calibri" w:cstheme="majorBidi"/>
      <w:color w:val="595959" w:themeColor="text1" w:themeTint="A6"/>
      <w:spacing w:val="15"/>
      <w:kern w:val="0"/>
      <w:sz w:val="28"/>
      <w:szCs w:val="28"/>
      <w:lang w:val="es-ES"/>
    </w:rPr>
  </w:style>
  <w:style w:type="paragraph" w:styleId="Prrafodelista">
    <w:name w:val="List Paragraph"/>
    <w:aliases w:val="lp1,List Paragraph1,Listas,List Paragraph11,Bullet List,FooterText,numbered,Paragraphe de liste1,Bulletr List Paragraph,列出段落,列出段落1,Scitum normal,Colorful List - Accent 11,Lista vistosa - Énfasis 11,List Paragraph,TítuloB,Figuras,Dot pt"/>
    <w:basedOn w:val="Normal"/>
    <w:link w:val="PrrafodelistaCar"/>
    <w:uiPriority w:val="34"/>
    <w:qFormat/>
    <w:rsid w:val="008A3E36"/>
    <w:pPr>
      <w:ind w:left="720"/>
      <w:contextualSpacing/>
    </w:pPr>
  </w:style>
  <w:style w:type="paragraph" w:styleId="Cita">
    <w:name w:val="Quote"/>
    <w:basedOn w:val="Normal"/>
    <w:next w:val="Normal"/>
    <w:link w:val="CitaCar"/>
    <w:uiPriority w:val="29"/>
    <w:qFormat/>
    <w:rsid w:val="008A3E36"/>
    <w:pPr>
      <w:spacing w:before="160"/>
      <w:jc w:val="center"/>
    </w:pPr>
    <w:rPr>
      <w:i/>
      <w:iCs/>
      <w:color w:val="404040" w:themeColor="text1" w:themeTint="BF"/>
    </w:rPr>
  </w:style>
  <w:style w:type="character" w:customStyle="1" w:styleId="CitaCar">
    <w:name w:val="Cita Car"/>
    <w:basedOn w:val="Fuentedeprrafopredeter"/>
    <w:link w:val="Cita"/>
    <w:uiPriority w:val="29"/>
    <w:rsid w:val="008A3E36"/>
    <w:rPr>
      <w:rFonts w:ascii="Calibri" w:eastAsia="Yu Mincho" w:hAnsi="Calibri" w:cs="Times New Roman"/>
      <w:i/>
      <w:iCs/>
      <w:color w:val="404040" w:themeColor="text1" w:themeTint="BF"/>
      <w:kern w:val="0"/>
      <w:sz w:val="24"/>
      <w:szCs w:val="24"/>
      <w:lang w:val="es-ES"/>
    </w:rPr>
  </w:style>
  <w:style w:type="paragraph" w:styleId="Citadestacada">
    <w:name w:val="Intense Quote"/>
    <w:basedOn w:val="Normal"/>
    <w:next w:val="Normal"/>
    <w:link w:val="CitadestacadaCar"/>
    <w:uiPriority w:val="30"/>
    <w:qFormat/>
    <w:rsid w:val="008A3E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A3E36"/>
    <w:rPr>
      <w:rFonts w:ascii="Calibri" w:eastAsia="Yu Mincho" w:hAnsi="Calibri" w:cs="Times New Roman"/>
      <w:i/>
      <w:iCs/>
      <w:color w:val="0F4761" w:themeColor="accent1" w:themeShade="BF"/>
      <w:kern w:val="0"/>
      <w:sz w:val="24"/>
      <w:szCs w:val="24"/>
      <w:lang w:val="es-ES"/>
    </w:rPr>
  </w:style>
  <w:style w:type="character" w:styleId="nfasisintenso">
    <w:name w:val="Intense Emphasis"/>
    <w:basedOn w:val="Fuentedeprrafopredeter"/>
    <w:uiPriority w:val="21"/>
    <w:qFormat/>
    <w:rsid w:val="008A3E36"/>
    <w:rPr>
      <w:i/>
      <w:iCs/>
      <w:color w:val="0F4761" w:themeColor="accent1" w:themeShade="BF"/>
    </w:rPr>
  </w:style>
  <w:style w:type="character" w:styleId="Referenciaintensa">
    <w:name w:val="Intense Reference"/>
    <w:basedOn w:val="Fuentedeprrafopredeter"/>
    <w:uiPriority w:val="32"/>
    <w:qFormat/>
    <w:rsid w:val="008A3E36"/>
    <w:rPr>
      <w:b/>
      <w:bCs/>
      <w:smallCaps/>
      <w:color w:val="0F4761" w:themeColor="accent1" w:themeShade="BF"/>
      <w:spacing w:val="5"/>
    </w:rPr>
  </w:style>
  <w:style w:type="paragraph" w:styleId="Encabezado">
    <w:name w:val="header"/>
    <w:basedOn w:val="Normal"/>
    <w:link w:val="EncabezadoCar"/>
    <w:uiPriority w:val="99"/>
    <w:unhideWhenUsed/>
    <w:rsid w:val="00EC2A48"/>
    <w:pPr>
      <w:tabs>
        <w:tab w:val="center" w:pos="4419"/>
        <w:tab w:val="right" w:pos="8838"/>
      </w:tabs>
    </w:pPr>
  </w:style>
  <w:style w:type="character" w:customStyle="1" w:styleId="EncabezadoCar">
    <w:name w:val="Encabezado Car"/>
    <w:basedOn w:val="Fuentedeprrafopredeter"/>
    <w:link w:val="Encabezado"/>
    <w:uiPriority w:val="99"/>
    <w:rsid w:val="00EC2A48"/>
    <w:rPr>
      <w:rFonts w:ascii="Calibri" w:eastAsia="Yu Mincho" w:hAnsi="Calibri"/>
      <w:kern w:val="0"/>
      <w:sz w:val="24"/>
      <w:szCs w:val="24"/>
      <w:lang w:val="es-ES"/>
    </w:rPr>
  </w:style>
  <w:style w:type="paragraph" w:styleId="Piedepgina">
    <w:name w:val="footer"/>
    <w:basedOn w:val="Normal"/>
    <w:link w:val="PiedepginaCar"/>
    <w:uiPriority w:val="99"/>
    <w:unhideWhenUsed/>
    <w:rsid w:val="00EC2A48"/>
    <w:pPr>
      <w:tabs>
        <w:tab w:val="center" w:pos="4419"/>
        <w:tab w:val="right" w:pos="8838"/>
      </w:tabs>
    </w:pPr>
  </w:style>
  <w:style w:type="character" w:customStyle="1" w:styleId="PiedepginaCar">
    <w:name w:val="Pie de página Car"/>
    <w:basedOn w:val="Fuentedeprrafopredeter"/>
    <w:link w:val="Piedepgina"/>
    <w:uiPriority w:val="99"/>
    <w:rsid w:val="00EC2A48"/>
    <w:rPr>
      <w:rFonts w:ascii="Calibri" w:eastAsia="Yu Mincho" w:hAnsi="Calibri"/>
      <w:kern w:val="0"/>
      <w:sz w:val="24"/>
      <w:szCs w:val="24"/>
      <w:lang w:val="es-ES"/>
    </w:rPr>
  </w:style>
  <w:style w:type="table" w:styleId="Tablaconcuadrcula">
    <w:name w:val="Table Grid"/>
    <w:basedOn w:val="Tablanormal"/>
    <w:uiPriority w:val="39"/>
    <w:rsid w:val="00EC2A48"/>
    <w:pPr>
      <w:spacing w:after="0" w:line="240" w:lineRule="auto"/>
    </w:pPr>
    <w:rPr>
      <w:rFonts w:ascii="Calibri" w:eastAsia="Calibri" w:hAnsi="Calibri" w:cs="Calibri"/>
      <w:kern w:val="0"/>
      <w:sz w:val="24"/>
      <w:szCs w:val="24"/>
      <w:lang w:val="es-ES"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EC2A48"/>
    <w:rPr>
      <w:color w:val="467886" w:themeColor="hyperlink"/>
      <w:u w:val="single"/>
    </w:rPr>
  </w:style>
  <w:style w:type="paragraph" w:styleId="Sinespaciado">
    <w:name w:val="No Spacing"/>
    <w:uiPriority w:val="1"/>
    <w:qFormat/>
    <w:rsid w:val="00EC2A48"/>
    <w:pPr>
      <w:spacing w:after="0" w:line="240" w:lineRule="auto"/>
    </w:pPr>
    <w:rPr>
      <w:rFonts w:ascii="Calibri" w:eastAsia="Calibri" w:hAnsi="Calibri" w:cs="Calibri"/>
      <w:kern w:val="0"/>
      <w:sz w:val="24"/>
      <w:szCs w:val="24"/>
      <w:lang w:val="es-ES" w:eastAsia="es-MX"/>
    </w:rPr>
  </w:style>
  <w:style w:type="character" w:customStyle="1" w:styleId="PrrafodelistaCar">
    <w:name w:val="Párrafo de lista Car"/>
    <w:aliases w:val="lp1 Car,List Paragraph1 Car,Listas Car,List Paragraph11 Car,Bullet List Car,FooterText Car,numbered Car,Paragraphe de liste1 Car,Bulletr List Paragraph Car,列出段落 Car,列出段落1 Car,Scitum normal Car,Colorful List - Accent 11 Car"/>
    <w:basedOn w:val="Fuentedeprrafopredeter"/>
    <w:link w:val="Prrafodelista"/>
    <w:uiPriority w:val="34"/>
    <w:qFormat/>
    <w:locked/>
    <w:rsid w:val="007D0069"/>
    <w:rPr>
      <w:rFonts w:ascii="Calibri" w:eastAsia="Yu Mincho" w:hAnsi="Calibri" w:cs="Times New Roman"/>
      <w:kern w:val="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3228</Words>
  <Characters>17760</Characters>
  <Application>Microsoft Office Word</Application>
  <DocSecurity>0</DocSecurity>
  <Lines>148</Lines>
  <Paragraphs>41</Paragraphs>
  <ScaleCrop>false</ScaleCrop>
  <Company/>
  <LinksUpToDate>false</LinksUpToDate>
  <CharactersWithSpaces>20947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Zoraida Ileana</dc:creator>
  <cp:keywords/>
  <dc:description/>
  <cp:lastModifiedBy>Giovani Adrian Suarez Gallegos</cp:lastModifiedBy>
  <cp:revision>6</cp:revision>
  <dcterms:created xsi:type="dcterms:W3CDTF">2026-06-02T20:17:00Z</dcterms:created>
  <dcterms:modified xsi:type="dcterms:W3CDTF">2026-07-16T20:09:00Z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d81e07f1-c8f0-40a2-b4f0-8cfc2c6edcc8</vt:lpwstr>
  </property>
</Properties>
</file>